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AA26E" w14:textId="77777777" w:rsidR="000F2138" w:rsidRDefault="000F2138" w:rsidP="000F2138">
      <w:pPr>
        <w:spacing w:after="0" w:line="240" w:lineRule="auto"/>
        <w:rPr>
          <w:b/>
        </w:rPr>
      </w:pPr>
      <w:r w:rsidRPr="006358F6">
        <w:rPr>
          <w:rFonts w:ascii="Times New Roman" w:hAnsi="Times New Roman" w:cs="Times New Roman"/>
          <w:b/>
          <w:sz w:val="56"/>
          <w:szCs w:val="56"/>
        </w:rPr>
        <w:t>HAYES</w:t>
      </w:r>
      <w:r>
        <w:rPr>
          <w:b/>
        </w:rPr>
        <w:br/>
      </w:r>
      <w:r w:rsidRPr="006358F6">
        <w:rPr>
          <w:rStyle w:val="SubtleEmphasis"/>
          <w:rFonts w:ascii="Times New Roman" w:hAnsi="Times New Roman" w:cs="Times New Roman"/>
          <w:sz w:val="44"/>
          <w:szCs w:val="44"/>
        </w:rPr>
        <w:t>ASSET MANAGEMENT LLC</w:t>
      </w:r>
    </w:p>
    <w:p w14:paraId="04564130" w14:textId="77777777" w:rsidR="000F2138" w:rsidRDefault="000F2138" w:rsidP="000F2138">
      <w:pPr>
        <w:spacing w:after="0" w:line="240" w:lineRule="auto"/>
        <w:rPr>
          <w:b/>
        </w:rPr>
      </w:pPr>
      <w:r>
        <w:rPr>
          <w:b/>
          <w:noProof/>
        </w:rPr>
        <mc:AlternateContent>
          <mc:Choice Requires="wps">
            <w:drawing>
              <wp:anchor distT="0" distB="0" distL="114300" distR="114300" simplePos="0" relativeHeight="251659264" behindDoc="0" locked="0" layoutInCell="1" allowOverlap="1" wp14:anchorId="798D6476" wp14:editId="405401B9">
                <wp:simplePos x="0" y="0"/>
                <wp:positionH relativeFrom="column">
                  <wp:posOffset>-1</wp:posOffset>
                </wp:positionH>
                <wp:positionV relativeFrom="paragraph">
                  <wp:posOffset>60325</wp:posOffset>
                </wp:positionV>
                <wp:extent cx="6829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2942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8985F1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75pt" to="53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mczwEAAIkDAAAOAAAAZHJzL2Uyb0RvYy54bWysU01vGjEQvVfqf7B8LwuoiciKJQdQeqla&#10;pKQ/YOK1dy35SzMuC/++Y0MoTW9VOZgZj+fjvXm7fjx6Jw4aycbQycVsLoUOKvY2DJ388fL0aSUF&#10;ZQg9uBh0J0+a5OPm44f1lFq9jGN0vUbBRQK1U+rkmHNqm4bUqD3QLCYdOGgiesjs4tD0CBNX965Z&#10;zuf3zRSxTxiVJuLb3TkoN7W+MVrl78aQzsJ1kmfL9cR6vpaz2ayhHRDSaNVlDPiHKTzYwE2vpXaQ&#10;QfxE+1cpbxVGiibPVPRNNMYqXTEwmsX8HZrnEZKuWJgcSlea6P+VVd8OexS2591JEcDzip4zgh3G&#10;LLYxBCYwolgUnqZELT/fhj1ePEp7LKCPBn35ZzjiWLk9XbnVxywUX96vlg+fl3dSqLdY8zsxIeUv&#10;OnpRjE46GwpsaOHwlTI346dvT8p1iE/Wubo6F8TEsz/M73i7ClhBxkFm0yfGRGGQAtzA0lQZa0mK&#10;zvYlvRSiE20digOwOlhUfZxeeF4pHFDmAIOov4KeR/gjtcyzAxrPyTV0FpO3mRXtrO/k6jbbhdJR&#10;V01eUBVGzxwW6zX2p0ptUzzed2160WYR1K3P9u0XtPkFAAD//wMAUEsDBBQABgAIAAAAIQDXcRx4&#10;2wAAAAUBAAAPAAAAZHJzL2Rvd25yZXYueG1sTI9BT8MwDIXvSPyHyEjcWAraBitNJ0CakDggMZi0&#10;o9uYttA4VZN2hV+PxwVutp/93udsPblWjdSHxrOBy1kCirj0tuHKwNvr5uIGVIjIFlvPZOCLAqzz&#10;05MMU+sP/ELjNlZKTDikaKCOsUu1DmVNDsPMd8SivfveYZS2r7Tt8SDmrtVXSbLUDhuWhBo7eqip&#10;/NwOTjDc9+axuV9Nz/qDnpbjbr4firkx52fT3S2oSFP8W4YjvtxALkyFH9gG1RqQR6KB1QLUUUyu&#10;F1IVvwOdZ/o/ff4DAAD//wMAUEsBAi0AFAAGAAgAAAAhALaDOJL+AAAA4QEAABMAAAAAAAAAAAAA&#10;AAAAAAAAAFtDb250ZW50X1R5cGVzXS54bWxQSwECLQAUAAYACAAAACEAOP0h/9YAAACUAQAACwAA&#10;AAAAAAAAAAAAAAAvAQAAX3JlbHMvLnJlbHNQSwECLQAUAAYACAAAACEANoe5nM8BAACJAwAADgAA&#10;AAAAAAAAAAAAAAAuAgAAZHJzL2Uyb0RvYy54bWxQSwECLQAUAAYACAAAACEA13EceNsAAAAFAQAA&#10;DwAAAAAAAAAAAAAAAAApBAAAZHJzL2Rvd25yZXYueG1sUEsFBgAAAAAEAAQA8wAAADEFAAAAAA==&#10;" strokecolor="windowText" strokeweight="1.5pt">
                <v:stroke joinstyle="miter"/>
              </v:line>
            </w:pict>
          </mc:Fallback>
        </mc:AlternateContent>
      </w:r>
    </w:p>
    <w:p w14:paraId="7C0F7F23" w14:textId="77777777" w:rsidR="000F2138" w:rsidRPr="006358F6" w:rsidRDefault="000F2138" w:rsidP="000F2138">
      <w:pPr>
        <w:spacing w:after="0" w:line="240" w:lineRule="auto"/>
        <w:jc w:val="right"/>
        <w:rPr>
          <w:rFonts w:ascii="Times New Roman" w:hAnsi="Times New Roman" w:cs="Times New Roman"/>
        </w:rPr>
      </w:pPr>
      <w:r>
        <w:rPr>
          <w:rFonts w:ascii="Times New Roman" w:hAnsi="Times New Roman" w:cs="Times New Roman"/>
        </w:rPr>
        <w:t xml:space="preserve">400 Andrews Street </w:t>
      </w:r>
      <w:r>
        <w:t>· Suite 600 · Rochester, New York 14604</w:t>
      </w:r>
      <w:r>
        <w:br/>
        <w:t>Phone: 585-730-6951 · Fax: 585-730-6944</w:t>
      </w:r>
      <w:r>
        <w:br/>
        <w:t>Toll Free: 866-423-5332</w:t>
      </w:r>
    </w:p>
    <w:p w14:paraId="6842FE9B" w14:textId="77777777" w:rsidR="0063153C" w:rsidRDefault="0063153C" w:rsidP="000D091B">
      <w:pPr>
        <w:spacing w:after="0" w:line="240" w:lineRule="auto"/>
        <w:rPr>
          <w:b/>
        </w:rPr>
      </w:pPr>
    </w:p>
    <w:p w14:paraId="28E5D737" w14:textId="77777777" w:rsidR="0063153C" w:rsidRDefault="0063153C" w:rsidP="000D091B">
      <w:pPr>
        <w:spacing w:after="0" w:line="240" w:lineRule="auto"/>
        <w:rPr>
          <w:b/>
        </w:rPr>
      </w:pPr>
    </w:p>
    <w:p w14:paraId="431DA2A0" w14:textId="77777777" w:rsidR="00CC6D8E" w:rsidRDefault="00CC6D8E" w:rsidP="000D091B">
      <w:pPr>
        <w:spacing w:after="0" w:line="240" w:lineRule="auto"/>
        <w:rPr>
          <w:b/>
        </w:rPr>
      </w:pPr>
    </w:p>
    <w:p w14:paraId="506C9F58" w14:textId="71EA431D" w:rsidR="00641DFD" w:rsidRDefault="00CC6D8E" w:rsidP="00CC6D8E">
      <w:pPr>
        <w:pStyle w:val="Heading1"/>
      </w:pPr>
      <w:r>
        <w:t>4</w:t>
      </w:r>
      <w:r w:rsidRPr="00CC6D8E">
        <w:rPr>
          <w:vertAlign w:val="superscript"/>
        </w:rPr>
        <w:t>th</w:t>
      </w:r>
      <w:r>
        <w:t xml:space="preserve"> </w:t>
      </w:r>
      <w:r w:rsidR="0045682A">
        <w:t>Quarter</w:t>
      </w:r>
      <w:r>
        <w:t xml:space="preserve"> 2018</w:t>
      </w:r>
      <w:r w:rsidR="0045682A">
        <w:t xml:space="preserve"> Insights – </w:t>
      </w:r>
      <w:r w:rsidR="00EF3C8E">
        <w:t>January</w:t>
      </w:r>
      <w:r w:rsidR="00E64A45" w:rsidRPr="00BB2D73">
        <w:t xml:space="preserve"> 201</w:t>
      </w:r>
      <w:r w:rsidR="00937537">
        <w:t>9</w:t>
      </w:r>
    </w:p>
    <w:p w14:paraId="77ED540D" w14:textId="77777777" w:rsidR="000D091B" w:rsidRDefault="000D091B" w:rsidP="000D091B">
      <w:pPr>
        <w:spacing w:after="0" w:line="240" w:lineRule="auto"/>
        <w:rPr>
          <w:b/>
        </w:rPr>
      </w:pPr>
    </w:p>
    <w:p w14:paraId="6347A444" w14:textId="4E75B58B" w:rsidR="00A76F18" w:rsidRDefault="00A76F18" w:rsidP="4E46A3B0">
      <w:pPr>
        <w:spacing w:after="0" w:line="240" w:lineRule="auto"/>
        <w:rPr>
          <w:b/>
          <w:bCs/>
        </w:rPr>
      </w:pPr>
    </w:p>
    <w:p w14:paraId="14C28478" w14:textId="058EBB11" w:rsidR="00A76F18" w:rsidRPr="00CC6D8E" w:rsidRDefault="00A76F18" w:rsidP="4E46A3B0">
      <w:pPr>
        <w:spacing w:after="0" w:line="240" w:lineRule="auto"/>
        <w:rPr>
          <w:b/>
          <w:bCs/>
          <w:sz w:val="24"/>
          <w:szCs w:val="24"/>
        </w:rPr>
      </w:pPr>
      <w:r w:rsidRPr="00CC6D8E">
        <w:rPr>
          <w:b/>
          <w:bCs/>
          <w:sz w:val="24"/>
          <w:szCs w:val="24"/>
        </w:rPr>
        <w:t>Dear</w:t>
      </w:r>
      <w:r w:rsidR="00735AEE">
        <w:rPr>
          <w:b/>
          <w:bCs/>
          <w:sz w:val="24"/>
          <w:szCs w:val="24"/>
        </w:rPr>
        <w:t xml:space="preserve"> Client</w:t>
      </w:r>
      <w:r w:rsidRPr="00CC6D8E">
        <w:rPr>
          <w:b/>
          <w:bCs/>
          <w:sz w:val="24"/>
          <w:szCs w:val="24"/>
        </w:rPr>
        <w:t>,</w:t>
      </w:r>
    </w:p>
    <w:p w14:paraId="1E471387" w14:textId="7CD158C2" w:rsidR="00F400DA" w:rsidRPr="00CC6D8E" w:rsidRDefault="00F400DA" w:rsidP="00104183">
      <w:pPr>
        <w:spacing w:after="0" w:line="240" w:lineRule="auto"/>
        <w:rPr>
          <w:b/>
          <w:bCs/>
          <w:sz w:val="24"/>
          <w:szCs w:val="24"/>
        </w:rPr>
      </w:pPr>
    </w:p>
    <w:p w14:paraId="11237C2C" w14:textId="08CD28D2" w:rsidR="00F6186C" w:rsidRPr="00CC6D8E" w:rsidRDefault="004D7190" w:rsidP="00104183">
      <w:pPr>
        <w:spacing w:after="0" w:line="240" w:lineRule="auto"/>
        <w:rPr>
          <w:sz w:val="24"/>
          <w:szCs w:val="24"/>
        </w:rPr>
      </w:pPr>
      <w:r w:rsidRPr="00CC6D8E">
        <w:rPr>
          <w:sz w:val="24"/>
          <w:szCs w:val="24"/>
        </w:rPr>
        <w:t>A decade of</w:t>
      </w:r>
      <w:r w:rsidR="008C7DAC" w:rsidRPr="00CC6D8E">
        <w:rPr>
          <w:sz w:val="24"/>
          <w:szCs w:val="24"/>
        </w:rPr>
        <w:t xml:space="preserve"> consecutive</w:t>
      </w:r>
      <w:r w:rsidRPr="00CC6D8E">
        <w:rPr>
          <w:sz w:val="24"/>
          <w:szCs w:val="24"/>
        </w:rPr>
        <w:t xml:space="preserve"> positive annual </w:t>
      </w:r>
      <w:r w:rsidR="00F6186C" w:rsidRPr="00CC6D8E">
        <w:rPr>
          <w:sz w:val="24"/>
          <w:szCs w:val="24"/>
        </w:rPr>
        <w:t>returns</w:t>
      </w:r>
      <w:r w:rsidRPr="00CC6D8E">
        <w:rPr>
          <w:sz w:val="24"/>
          <w:szCs w:val="24"/>
        </w:rPr>
        <w:t xml:space="preserve"> from the S&amp;P 500 ended in 2018</w:t>
      </w:r>
      <w:r w:rsidR="00F6186C" w:rsidRPr="00CC6D8E">
        <w:rPr>
          <w:sz w:val="24"/>
          <w:szCs w:val="24"/>
        </w:rPr>
        <w:t>.</w:t>
      </w:r>
      <w:r w:rsidR="00DA2A65" w:rsidRPr="00CC6D8E">
        <w:rPr>
          <w:sz w:val="24"/>
          <w:szCs w:val="24"/>
        </w:rPr>
        <w:t xml:space="preserve"> </w:t>
      </w:r>
      <w:r w:rsidR="00F6186C" w:rsidRPr="00CC6D8E">
        <w:rPr>
          <w:sz w:val="24"/>
          <w:szCs w:val="24"/>
        </w:rPr>
        <w:t>In the final three months of the year t</w:t>
      </w:r>
      <w:r w:rsidR="005A7BCD" w:rsidRPr="00CC6D8E">
        <w:rPr>
          <w:sz w:val="24"/>
          <w:szCs w:val="24"/>
        </w:rPr>
        <w:t xml:space="preserve">he </w:t>
      </w:r>
      <w:r w:rsidR="00E029FD" w:rsidRPr="00CC6D8E">
        <w:rPr>
          <w:sz w:val="24"/>
          <w:szCs w:val="24"/>
        </w:rPr>
        <w:t xml:space="preserve">S&amp;P 500 </w:t>
      </w:r>
      <w:r w:rsidR="00F6186C" w:rsidRPr="00CC6D8E">
        <w:rPr>
          <w:sz w:val="24"/>
          <w:szCs w:val="24"/>
        </w:rPr>
        <w:t xml:space="preserve">registered </w:t>
      </w:r>
      <w:r w:rsidR="00E029FD" w:rsidRPr="00CC6D8E">
        <w:rPr>
          <w:sz w:val="24"/>
          <w:szCs w:val="24"/>
        </w:rPr>
        <w:t xml:space="preserve">its worst quarterly performance </w:t>
      </w:r>
      <w:r w:rsidR="00276C91" w:rsidRPr="00CC6D8E">
        <w:rPr>
          <w:sz w:val="24"/>
          <w:szCs w:val="24"/>
        </w:rPr>
        <w:t>in</w:t>
      </w:r>
      <w:r w:rsidR="00E441F8" w:rsidRPr="00CC6D8E">
        <w:rPr>
          <w:sz w:val="24"/>
          <w:szCs w:val="24"/>
        </w:rPr>
        <w:t xml:space="preserve"> seven years</w:t>
      </w:r>
      <w:r w:rsidR="00F6186C" w:rsidRPr="00CC6D8E">
        <w:rPr>
          <w:sz w:val="24"/>
          <w:szCs w:val="24"/>
        </w:rPr>
        <w:t xml:space="preserve"> </w:t>
      </w:r>
      <w:r w:rsidR="005A7BCD" w:rsidRPr="00CC6D8E">
        <w:rPr>
          <w:sz w:val="24"/>
          <w:szCs w:val="24"/>
        </w:rPr>
        <w:t xml:space="preserve">and </w:t>
      </w:r>
      <w:r w:rsidR="00F6186C" w:rsidRPr="00CC6D8E">
        <w:rPr>
          <w:sz w:val="24"/>
          <w:szCs w:val="24"/>
        </w:rPr>
        <w:t xml:space="preserve">ended 2018 with a negative annual total return for the first time since 2008. </w:t>
      </w:r>
    </w:p>
    <w:p w14:paraId="223B7D0C" w14:textId="77777777" w:rsidR="00163B56" w:rsidRPr="00CC6D8E" w:rsidRDefault="00163B56" w:rsidP="00104183">
      <w:pPr>
        <w:spacing w:after="0" w:line="240" w:lineRule="auto"/>
        <w:rPr>
          <w:sz w:val="24"/>
          <w:szCs w:val="24"/>
        </w:rPr>
      </w:pPr>
    </w:p>
    <w:p w14:paraId="0646F2EE" w14:textId="29FE4D99" w:rsidR="009E48FA" w:rsidRPr="00CC6D8E" w:rsidRDefault="00163B56" w:rsidP="00104183">
      <w:pPr>
        <w:spacing w:after="0" w:line="240" w:lineRule="auto"/>
        <w:rPr>
          <w:sz w:val="24"/>
          <w:szCs w:val="24"/>
        </w:rPr>
      </w:pPr>
      <w:r w:rsidRPr="00CC6D8E">
        <w:rPr>
          <w:sz w:val="24"/>
          <w:szCs w:val="24"/>
        </w:rPr>
        <w:t xml:space="preserve">Contrary </w:t>
      </w:r>
      <w:r w:rsidR="007B3650" w:rsidRPr="00CC6D8E">
        <w:rPr>
          <w:sz w:val="24"/>
          <w:szCs w:val="24"/>
        </w:rPr>
        <w:t>to most of the headlines we saw during the last three months,</w:t>
      </w:r>
      <w:r w:rsidRPr="00CC6D8E">
        <w:rPr>
          <w:sz w:val="24"/>
          <w:szCs w:val="24"/>
        </w:rPr>
        <w:t xml:space="preserve"> t</w:t>
      </w:r>
      <w:r w:rsidR="00E029FD" w:rsidRPr="00CC6D8E">
        <w:rPr>
          <w:sz w:val="24"/>
          <w:szCs w:val="24"/>
        </w:rPr>
        <w:t xml:space="preserve">he sharp declines in stocks weren’t </w:t>
      </w:r>
      <w:r w:rsidR="004D7190" w:rsidRPr="00CC6D8E">
        <w:rPr>
          <w:sz w:val="24"/>
          <w:szCs w:val="24"/>
        </w:rPr>
        <w:t xml:space="preserve">directly </w:t>
      </w:r>
      <w:r w:rsidR="00E029FD" w:rsidRPr="00CC6D8E">
        <w:rPr>
          <w:sz w:val="24"/>
          <w:szCs w:val="24"/>
        </w:rPr>
        <w:t xml:space="preserve">driven by trade wars or </w:t>
      </w:r>
      <w:r w:rsidR="007B3650" w:rsidRPr="00CC6D8E">
        <w:rPr>
          <w:sz w:val="24"/>
          <w:szCs w:val="24"/>
        </w:rPr>
        <w:t xml:space="preserve">ongoing </w:t>
      </w:r>
      <w:r w:rsidR="00E029FD" w:rsidRPr="00CC6D8E">
        <w:rPr>
          <w:sz w:val="24"/>
          <w:szCs w:val="24"/>
        </w:rPr>
        <w:t>political dramas</w:t>
      </w:r>
      <w:r w:rsidR="005A7BCD" w:rsidRPr="00CC6D8E">
        <w:rPr>
          <w:sz w:val="24"/>
          <w:szCs w:val="24"/>
        </w:rPr>
        <w:t xml:space="preserve">, </w:t>
      </w:r>
      <w:r w:rsidR="004D7190" w:rsidRPr="00CC6D8E">
        <w:rPr>
          <w:sz w:val="24"/>
          <w:szCs w:val="24"/>
        </w:rPr>
        <w:t>all of which were with us for the majority of 2018</w:t>
      </w:r>
      <w:r w:rsidR="005A7BCD" w:rsidRPr="00CC6D8E">
        <w:rPr>
          <w:sz w:val="24"/>
          <w:szCs w:val="24"/>
        </w:rPr>
        <w:t>. I</w:t>
      </w:r>
      <w:r w:rsidR="00E029FD" w:rsidRPr="00CC6D8E">
        <w:rPr>
          <w:sz w:val="24"/>
          <w:szCs w:val="24"/>
        </w:rPr>
        <w:t>nstead</w:t>
      </w:r>
      <w:r w:rsidR="00DA2A65" w:rsidRPr="00CC6D8E">
        <w:rPr>
          <w:sz w:val="24"/>
          <w:szCs w:val="24"/>
        </w:rPr>
        <w:t xml:space="preserve">, </w:t>
      </w:r>
      <w:r w:rsidR="00F6186C" w:rsidRPr="00CC6D8E">
        <w:rPr>
          <w:sz w:val="24"/>
          <w:szCs w:val="24"/>
        </w:rPr>
        <w:t xml:space="preserve">the </w:t>
      </w:r>
      <w:r w:rsidR="007B3650" w:rsidRPr="00CC6D8E">
        <w:rPr>
          <w:sz w:val="24"/>
          <w:szCs w:val="24"/>
        </w:rPr>
        <w:t>break down in stocks</w:t>
      </w:r>
      <w:r w:rsidR="00F6186C" w:rsidRPr="00CC6D8E">
        <w:rPr>
          <w:sz w:val="24"/>
          <w:szCs w:val="24"/>
        </w:rPr>
        <w:t xml:space="preserve"> was </w:t>
      </w:r>
      <w:r w:rsidR="005A7BCD" w:rsidRPr="00CC6D8E">
        <w:rPr>
          <w:sz w:val="24"/>
          <w:szCs w:val="24"/>
        </w:rPr>
        <w:t>driven</w:t>
      </w:r>
      <w:r w:rsidR="00E029FD" w:rsidRPr="00CC6D8E">
        <w:rPr>
          <w:sz w:val="24"/>
          <w:szCs w:val="24"/>
        </w:rPr>
        <w:t xml:space="preserve"> by a </w:t>
      </w:r>
      <w:r w:rsidR="009E48FA" w:rsidRPr="00CC6D8E">
        <w:rPr>
          <w:sz w:val="24"/>
          <w:szCs w:val="24"/>
        </w:rPr>
        <w:t>trifecta of</w:t>
      </w:r>
      <w:r w:rsidR="00E029FD" w:rsidRPr="00CC6D8E">
        <w:rPr>
          <w:sz w:val="24"/>
          <w:szCs w:val="24"/>
        </w:rPr>
        <w:t xml:space="preserve"> classic economic and market</w:t>
      </w:r>
      <w:r w:rsidR="009E48FA" w:rsidRPr="00CC6D8E">
        <w:rPr>
          <w:sz w:val="24"/>
          <w:szCs w:val="24"/>
        </w:rPr>
        <w:t xml:space="preserve"> concerns emanating from </w:t>
      </w:r>
      <w:r w:rsidR="00F6186C" w:rsidRPr="00CC6D8E">
        <w:rPr>
          <w:sz w:val="24"/>
          <w:szCs w:val="24"/>
        </w:rPr>
        <w:t>underwhelming</w:t>
      </w:r>
      <w:r w:rsidR="009E48FA" w:rsidRPr="00CC6D8E">
        <w:rPr>
          <w:sz w:val="24"/>
          <w:szCs w:val="24"/>
        </w:rPr>
        <w:t xml:space="preserve"> </w:t>
      </w:r>
      <w:r w:rsidR="00E029FD" w:rsidRPr="00CC6D8E">
        <w:rPr>
          <w:sz w:val="24"/>
          <w:szCs w:val="24"/>
        </w:rPr>
        <w:t>corporate earnings guidance</w:t>
      </w:r>
      <w:r w:rsidR="009E48FA" w:rsidRPr="00CC6D8E">
        <w:rPr>
          <w:sz w:val="24"/>
          <w:szCs w:val="24"/>
        </w:rPr>
        <w:t xml:space="preserve">, </w:t>
      </w:r>
      <w:r w:rsidR="004C5040" w:rsidRPr="00CC6D8E">
        <w:rPr>
          <w:sz w:val="24"/>
          <w:szCs w:val="24"/>
        </w:rPr>
        <w:t xml:space="preserve">suddenly lackluster </w:t>
      </w:r>
      <w:r w:rsidR="009E48FA" w:rsidRPr="00CC6D8E">
        <w:rPr>
          <w:sz w:val="24"/>
          <w:szCs w:val="24"/>
        </w:rPr>
        <w:t>economic growth</w:t>
      </w:r>
      <w:r w:rsidR="00E029FD" w:rsidRPr="00CC6D8E">
        <w:rPr>
          <w:sz w:val="24"/>
          <w:szCs w:val="24"/>
        </w:rPr>
        <w:t xml:space="preserve"> and disappointment towards Federal Reserve monetary policy</w:t>
      </w:r>
      <w:r w:rsidR="009E48FA" w:rsidRPr="00CC6D8E">
        <w:rPr>
          <w:sz w:val="24"/>
          <w:szCs w:val="24"/>
        </w:rPr>
        <w:t xml:space="preserve">.  </w:t>
      </w:r>
    </w:p>
    <w:p w14:paraId="294AAFF1" w14:textId="314C6E98" w:rsidR="009E48FA" w:rsidRPr="00CC6D8E" w:rsidRDefault="009E48FA" w:rsidP="00104183">
      <w:pPr>
        <w:spacing w:after="0" w:line="240" w:lineRule="auto"/>
        <w:rPr>
          <w:sz w:val="24"/>
          <w:szCs w:val="24"/>
        </w:rPr>
      </w:pPr>
    </w:p>
    <w:p w14:paraId="02521F50" w14:textId="28455BF6" w:rsidR="009E48FA" w:rsidRPr="00CC6D8E" w:rsidRDefault="00E029FD" w:rsidP="00104183">
      <w:pPr>
        <w:spacing w:after="0" w:line="240" w:lineRule="auto"/>
        <w:rPr>
          <w:sz w:val="24"/>
          <w:szCs w:val="24"/>
        </w:rPr>
      </w:pPr>
      <w:bookmarkStart w:id="0" w:name="_Hlk534107536"/>
      <w:r w:rsidRPr="00CC6D8E">
        <w:rPr>
          <w:sz w:val="24"/>
          <w:szCs w:val="24"/>
        </w:rPr>
        <w:t xml:space="preserve">Stocks initially dropped in early October </w:t>
      </w:r>
      <w:r w:rsidR="004C5040" w:rsidRPr="00CC6D8E">
        <w:rPr>
          <w:sz w:val="24"/>
          <w:szCs w:val="24"/>
        </w:rPr>
        <w:t>as</w:t>
      </w:r>
      <w:r w:rsidR="007B3650" w:rsidRPr="00CC6D8E">
        <w:rPr>
          <w:sz w:val="24"/>
          <w:szCs w:val="24"/>
        </w:rPr>
        <w:t xml:space="preserve"> the</w:t>
      </w:r>
      <w:r w:rsidR="004C5040" w:rsidRPr="00CC6D8E">
        <w:rPr>
          <w:sz w:val="24"/>
          <w:szCs w:val="24"/>
        </w:rPr>
        <w:t xml:space="preserve"> third</w:t>
      </w:r>
      <w:r w:rsidR="00DA2A65" w:rsidRPr="00CC6D8E">
        <w:rPr>
          <w:sz w:val="24"/>
          <w:szCs w:val="24"/>
        </w:rPr>
        <w:t>-</w:t>
      </w:r>
      <w:r w:rsidR="004C5040" w:rsidRPr="00CC6D8E">
        <w:rPr>
          <w:sz w:val="24"/>
          <w:szCs w:val="24"/>
        </w:rPr>
        <w:t>quarter</w:t>
      </w:r>
      <w:r w:rsidR="009E48FA" w:rsidRPr="00CC6D8E">
        <w:rPr>
          <w:sz w:val="24"/>
          <w:szCs w:val="24"/>
        </w:rPr>
        <w:t xml:space="preserve"> corporate earnings</w:t>
      </w:r>
      <w:r w:rsidR="004C5040" w:rsidRPr="00CC6D8E">
        <w:rPr>
          <w:sz w:val="24"/>
          <w:szCs w:val="24"/>
        </w:rPr>
        <w:t xml:space="preserve"> season</w:t>
      </w:r>
      <w:r w:rsidR="009E48FA" w:rsidRPr="00CC6D8E">
        <w:rPr>
          <w:sz w:val="24"/>
          <w:szCs w:val="24"/>
        </w:rPr>
        <w:t xml:space="preserve"> </w:t>
      </w:r>
      <w:r w:rsidR="00276C91" w:rsidRPr="00CC6D8E">
        <w:rPr>
          <w:sz w:val="24"/>
          <w:szCs w:val="24"/>
        </w:rPr>
        <w:t>disappointed markets</w:t>
      </w:r>
      <w:r w:rsidR="009E48FA" w:rsidRPr="00CC6D8E">
        <w:rPr>
          <w:sz w:val="24"/>
          <w:szCs w:val="24"/>
        </w:rPr>
        <w:t xml:space="preserve">. </w:t>
      </w:r>
      <w:bookmarkStart w:id="1" w:name="_Hlk533760496"/>
      <w:r w:rsidR="009E48FA" w:rsidRPr="00CC6D8E">
        <w:rPr>
          <w:sz w:val="24"/>
          <w:szCs w:val="24"/>
        </w:rPr>
        <w:t xml:space="preserve">While </w:t>
      </w:r>
      <w:r w:rsidR="002D2397" w:rsidRPr="00CC6D8E">
        <w:rPr>
          <w:sz w:val="24"/>
          <w:szCs w:val="24"/>
        </w:rPr>
        <w:t>most</w:t>
      </w:r>
      <w:r w:rsidR="009E48FA" w:rsidRPr="00CC6D8E">
        <w:rPr>
          <w:sz w:val="24"/>
          <w:szCs w:val="24"/>
        </w:rPr>
        <w:t xml:space="preserve"> companies beat </w:t>
      </w:r>
      <w:r w:rsidRPr="00CC6D8E">
        <w:rPr>
          <w:sz w:val="24"/>
          <w:szCs w:val="24"/>
        </w:rPr>
        <w:t xml:space="preserve">consensus </w:t>
      </w:r>
      <w:r w:rsidR="009E48FA" w:rsidRPr="00CC6D8E">
        <w:rPr>
          <w:sz w:val="24"/>
          <w:szCs w:val="24"/>
        </w:rPr>
        <w:t xml:space="preserve">estimates, </w:t>
      </w:r>
      <w:r w:rsidR="007B3650" w:rsidRPr="00CC6D8E">
        <w:rPr>
          <w:sz w:val="24"/>
          <w:szCs w:val="24"/>
        </w:rPr>
        <w:t xml:space="preserve">as they often do, </w:t>
      </w:r>
      <w:r w:rsidR="009E48FA" w:rsidRPr="00CC6D8E">
        <w:rPr>
          <w:sz w:val="24"/>
          <w:szCs w:val="24"/>
        </w:rPr>
        <w:t xml:space="preserve">profit warnings from </w:t>
      </w:r>
      <w:r w:rsidRPr="00CC6D8E">
        <w:rPr>
          <w:sz w:val="24"/>
          <w:szCs w:val="24"/>
        </w:rPr>
        <w:t xml:space="preserve">select </w:t>
      </w:r>
      <w:r w:rsidR="009E48FA" w:rsidRPr="00CC6D8E">
        <w:rPr>
          <w:sz w:val="24"/>
          <w:szCs w:val="24"/>
        </w:rPr>
        <w:t xml:space="preserve">multinational and industrial firms </w:t>
      </w:r>
      <w:r w:rsidR="00DA2A65" w:rsidRPr="00CC6D8E">
        <w:rPr>
          <w:sz w:val="24"/>
          <w:szCs w:val="24"/>
        </w:rPr>
        <w:t xml:space="preserve">such as </w:t>
      </w:r>
      <w:r w:rsidR="009E48FA" w:rsidRPr="00CC6D8E">
        <w:rPr>
          <w:sz w:val="24"/>
          <w:szCs w:val="24"/>
        </w:rPr>
        <w:t xml:space="preserve">PPG </w:t>
      </w:r>
      <w:r w:rsidR="00DA2A65" w:rsidRPr="00CC6D8E">
        <w:rPr>
          <w:sz w:val="24"/>
          <w:szCs w:val="24"/>
        </w:rPr>
        <w:t>Industries</w:t>
      </w:r>
      <w:r w:rsidR="009E48FA" w:rsidRPr="00CC6D8E">
        <w:rPr>
          <w:sz w:val="24"/>
          <w:szCs w:val="24"/>
        </w:rPr>
        <w:t xml:space="preserve"> (PPG) and FedEx (FDX) highlighted growing concerns from analysts about peak earnings growth for U.S. corporations. </w:t>
      </w:r>
      <w:bookmarkEnd w:id="1"/>
      <w:r w:rsidR="009E48FA" w:rsidRPr="00CC6D8E">
        <w:rPr>
          <w:sz w:val="24"/>
          <w:szCs w:val="24"/>
        </w:rPr>
        <w:t xml:space="preserve">That </w:t>
      </w:r>
      <w:r w:rsidR="00276C91" w:rsidRPr="00CC6D8E">
        <w:rPr>
          <w:sz w:val="24"/>
          <w:szCs w:val="24"/>
        </w:rPr>
        <w:t xml:space="preserve">rising </w:t>
      </w:r>
      <w:r w:rsidR="009E48FA" w:rsidRPr="00CC6D8E">
        <w:rPr>
          <w:sz w:val="24"/>
          <w:szCs w:val="24"/>
        </w:rPr>
        <w:t xml:space="preserve">concern </w:t>
      </w:r>
      <w:r w:rsidR="00F6186C" w:rsidRPr="00CC6D8E">
        <w:rPr>
          <w:sz w:val="24"/>
          <w:szCs w:val="24"/>
        </w:rPr>
        <w:t xml:space="preserve">was </w:t>
      </w:r>
      <w:r w:rsidR="00A80CCB" w:rsidRPr="00CC6D8E">
        <w:rPr>
          <w:sz w:val="24"/>
          <w:szCs w:val="24"/>
        </w:rPr>
        <w:t xml:space="preserve">reflected </w:t>
      </w:r>
      <w:r w:rsidR="00F6186C" w:rsidRPr="00CC6D8E">
        <w:rPr>
          <w:sz w:val="24"/>
          <w:szCs w:val="24"/>
        </w:rPr>
        <w:t>by</w:t>
      </w:r>
      <w:r w:rsidR="00276C91" w:rsidRPr="00CC6D8E">
        <w:rPr>
          <w:sz w:val="24"/>
          <w:szCs w:val="24"/>
        </w:rPr>
        <w:t xml:space="preserve"> </w:t>
      </w:r>
      <w:r w:rsidR="009E48FA" w:rsidRPr="00CC6D8E">
        <w:rPr>
          <w:sz w:val="24"/>
          <w:szCs w:val="24"/>
        </w:rPr>
        <w:t>the</w:t>
      </w:r>
      <w:r w:rsidR="004C5040" w:rsidRPr="00CC6D8E">
        <w:rPr>
          <w:sz w:val="24"/>
          <w:szCs w:val="24"/>
        </w:rPr>
        <w:t xml:space="preserve"> market’s</w:t>
      </w:r>
      <w:r w:rsidR="009E48FA" w:rsidRPr="00CC6D8E">
        <w:rPr>
          <w:sz w:val="24"/>
          <w:szCs w:val="24"/>
        </w:rPr>
        <w:t xml:space="preserve"> performance during </w:t>
      </w:r>
      <w:r w:rsidR="007B3650" w:rsidRPr="00CC6D8E">
        <w:rPr>
          <w:sz w:val="24"/>
          <w:szCs w:val="24"/>
        </w:rPr>
        <w:t xml:space="preserve">the </w:t>
      </w:r>
      <w:r w:rsidR="00276C91" w:rsidRPr="00CC6D8E">
        <w:rPr>
          <w:sz w:val="24"/>
          <w:szCs w:val="24"/>
        </w:rPr>
        <w:t xml:space="preserve">heart of </w:t>
      </w:r>
      <w:r w:rsidR="009E48FA" w:rsidRPr="00CC6D8E">
        <w:rPr>
          <w:sz w:val="24"/>
          <w:szCs w:val="24"/>
        </w:rPr>
        <w:t xml:space="preserve">the </w:t>
      </w:r>
      <w:r w:rsidR="00DA2A65" w:rsidRPr="00CC6D8E">
        <w:rPr>
          <w:sz w:val="24"/>
          <w:szCs w:val="24"/>
        </w:rPr>
        <w:t>third-</w:t>
      </w:r>
      <w:r w:rsidR="009E48FA" w:rsidRPr="00CC6D8E">
        <w:rPr>
          <w:sz w:val="24"/>
          <w:szCs w:val="24"/>
        </w:rPr>
        <w:t xml:space="preserve">quarter reporting season, as the S&amp;P 500 declined </w:t>
      </w:r>
      <w:r w:rsidR="00276C91" w:rsidRPr="00CC6D8E">
        <w:rPr>
          <w:sz w:val="24"/>
          <w:szCs w:val="24"/>
        </w:rPr>
        <w:t>6.84</w:t>
      </w:r>
      <w:r w:rsidR="009E48FA" w:rsidRPr="00CC6D8E">
        <w:rPr>
          <w:sz w:val="24"/>
          <w:szCs w:val="24"/>
        </w:rPr>
        <w:t xml:space="preserve">% </w:t>
      </w:r>
      <w:r w:rsidR="00F6186C" w:rsidRPr="00CC6D8E">
        <w:rPr>
          <w:sz w:val="24"/>
          <w:szCs w:val="24"/>
        </w:rPr>
        <w:t>in</w:t>
      </w:r>
      <w:r w:rsidR="00276C91" w:rsidRPr="00CC6D8E">
        <w:rPr>
          <w:sz w:val="24"/>
          <w:szCs w:val="24"/>
        </w:rPr>
        <w:t xml:space="preserve"> October.  </w:t>
      </w:r>
      <w:r w:rsidR="009E48FA" w:rsidRPr="00CC6D8E">
        <w:rPr>
          <w:sz w:val="24"/>
          <w:szCs w:val="24"/>
        </w:rPr>
        <w:t xml:space="preserve">  </w:t>
      </w:r>
    </w:p>
    <w:bookmarkEnd w:id="0"/>
    <w:p w14:paraId="31F5A28A" w14:textId="77777777" w:rsidR="009E48FA" w:rsidRPr="00CC6D8E" w:rsidRDefault="009E48FA" w:rsidP="00104183">
      <w:pPr>
        <w:spacing w:after="0" w:line="240" w:lineRule="auto"/>
        <w:rPr>
          <w:sz w:val="24"/>
          <w:szCs w:val="24"/>
        </w:rPr>
      </w:pPr>
    </w:p>
    <w:p w14:paraId="1AD2BFDE" w14:textId="0D915B51" w:rsidR="00E029FD" w:rsidRPr="00CC6D8E" w:rsidRDefault="00DA2A65" w:rsidP="00E029FD">
      <w:pPr>
        <w:spacing w:after="0" w:line="240" w:lineRule="auto"/>
        <w:rPr>
          <w:sz w:val="24"/>
          <w:szCs w:val="24"/>
        </w:rPr>
      </w:pPr>
      <w:r w:rsidRPr="00CC6D8E">
        <w:rPr>
          <w:sz w:val="24"/>
          <w:szCs w:val="24"/>
        </w:rPr>
        <w:t>A</w:t>
      </w:r>
      <w:r w:rsidR="00E029FD" w:rsidRPr="00CC6D8E">
        <w:rPr>
          <w:sz w:val="24"/>
          <w:szCs w:val="24"/>
        </w:rPr>
        <w:t>fter a respite</w:t>
      </w:r>
      <w:r w:rsidR="00424FC2" w:rsidRPr="00CC6D8E">
        <w:rPr>
          <w:sz w:val="24"/>
          <w:szCs w:val="24"/>
        </w:rPr>
        <w:t xml:space="preserve"> from selling</w:t>
      </w:r>
      <w:r w:rsidR="00E029FD" w:rsidRPr="00CC6D8E">
        <w:rPr>
          <w:sz w:val="24"/>
          <w:szCs w:val="24"/>
        </w:rPr>
        <w:t xml:space="preserve"> </w:t>
      </w:r>
      <w:r w:rsidR="00276C91" w:rsidRPr="00CC6D8E">
        <w:rPr>
          <w:sz w:val="24"/>
          <w:szCs w:val="24"/>
        </w:rPr>
        <w:t>i</w:t>
      </w:r>
      <w:r w:rsidR="00E029FD" w:rsidRPr="00CC6D8E">
        <w:rPr>
          <w:sz w:val="24"/>
          <w:szCs w:val="24"/>
        </w:rPr>
        <w:t>n November</w:t>
      </w:r>
      <w:r w:rsidR="00276C91" w:rsidRPr="00CC6D8E">
        <w:rPr>
          <w:sz w:val="24"/>
          <w:szCs w:val="24"/>
        </w:rPr>
        <w:t xml:space="preserve"> that saw stocks bounce back</w:t>
      </w:r>
      <w:r w:rsidR="00F6186C" w:rsidRPr="00CC6D8E">
        <w:rPr>
          <w:sz w:val="24"/>
          <w:szCs w:val="24"/>
        </w:rPr>
        <w:t xml:space="preserve"> slightly from the October losses</w:t>
      </w:r>
      <w:r w:rsidR="00E029FD" w:rsidRPr="00CC6D8E">
        <w:rPr>
          <w:sz w:val="24"/>
          <w:szCs w:val="24"/>
        </w:rPr>
        <w:t xml:space="preserve">, earnings concerns were compounded in December by suddenly disappointing economic readings. </w:t>
      </w:r>
      <w:bookmarkStart w:id="2" w:name="_Hlk534107610"/>
      <w:bookmarkStart w:id="3" w:name="_Hlk533761041"/>
      <w:r w:rsidR="00E029FD" w:rsidRPr="00CC6D8E">
        <w:rPr>
          <w:sz w:val="24"/>
          <w:szCs w:val="24"/>
        </w:rPr>
        <w:t xml:space="preserve">In </w:t>
      </w:r>
      <w:r w:rsidR="00276C91" w:rsidRPr="00CC6D8E">
        <w:rPr>
          <w:sz w:val="24"/>
          <w:szCs w:val="24"/>
        </w:rPr>
        <w:t xml:space="preserve">early </w:t>
      </w:r>
      <w:r w:rsidR="00E029FD" w:rsidRPr="00CC6D8E">
        <w:rPr>
          <w:sz w:val="24"/>
          <w:szCs w:val="24"/>
        </w:rPr>
        <w:t>December</w:t>
      </w:r>
      <w:r w:rsidRPr="00CC6D8E">
        <w:rPr>
          <w:sz w:val="24"/>
          <w:szCs w:val="24"/>
        </w:rPr>
        <w:t xml:space="preserve">, </w:t>
      </w:r>
      <w:r w:rsidR="00E029FD" w:rsidRPr="00CC6D8E">
        <w:rPr>
          <w:sz w:val="24"/>
          <w:szCs w:val="24"/>
        </w:rPr>
        <w:t>multiple economic indicators including manufacturing surveys and the November jobs report</w:t>
      </w:r>
      <w:r w:rsidRPr="00CC6D8E">
        <w:rPr>
          <w:sz w:val="24"/>
          <w:szCs w:val="24"/>
        </w:rPr>
        <w:t xml:space="preserve"> </w:t>
      </w:r>
      <w:r w:rsidR="00E029FD" w:rsidRPr="00CC6D8E">
        <w:rPr>
          <w:sz w:val="24"/>
          <w:szCs w:val="24"/>
        </w:rPr>
        <w:t xml:space="preserve">missed Wall Street consensus estimates, adding </w:t>
      </w:r>
      <w:r w:rsidR="003913AA" w:rsidRPr="00CC6D8E">
        <w:rPr>
          <w:sz w:val="24"/>
          <w:szCs w:val="24"/>
        </w:rPr>
        <w:t>the potential of</w:t>
      </w:r>
      <w:r w:rsidR="00424FC2" w:rsidRPr="00CC6D8E">
        <w:rPr>
          <w:sz w:val="24"/>
          <w:szCs w:val="24"/>
        </w:rPr>
        <w:t xml:space="preserve"> slowing economic</w:t>
      </w:r>
      <w:r w:rsidR="00E029FD" w:rsidRPr="00CC6D8E">
        <w:rPr>
          <w:sz w:val="24"/>
          <w:szCs w:val="24"/>
        </w:rPr>
        <w:t xml:space="preserve"> growth to the list of </w:t>
      </w:r>
      <w:r w:rsidR="00163B56" w:rsidRPr="00CC6D8E">
        <w:rPr>
          <w:sz w:val="24"/>
          <w:szCs w:val="24"/>
        </w:rPr>
        <w:t>headwinds on stocks</w:t>
      </w:r>
      <w:r w:rsidR="00424FC2" w:rsidRPr="00CC6D8E">
        <w:rPr>
          <w:sz w:val="24"/>
          <w:szCs w:val="24"/>
        </w:rPr>
        <w:t>.</w:t>
      </w:r>
      <w:r w:rsidR="00F6186C" w:rsidRPr="00CC6D8E">
        <w:rPr>
          <w:sz w:val="24"/>
          <w:szCs w:val="24"/>
        </w:rPr>
        <w:t xml:space="preserve"> </w:t>
      </w:r>
      <w:bookmarkEnd w:id="2"/>
    </w:p>
    <w:bookmarkEnd w:id="3"/>
    <w:p w14:paraId="16ABFE42" w14:textId="22651491" w:rsidR="00E029FD" w:rsidRPr="00CC6D8E" w:rsidRDefault="00E029FD" w:rsidP="00104183">
      <w:pPr>
        <w:spacing w:after="0" w:line="240" w:lineRule="auto"/>
        <w:rPr>
          <w:sz w:val="24"/>
          <w:szCs w:val="24"/>
        </w:rPr>
      </w:pPr>
    </w:p>
    <w:p w14:paraId="25228906" w14:textId="14DD91D6" w:rsidR="00A63BF8" w:rsidRPr="00CC6D8E" w:rsidRDefault="00E029FD" w:rsidP="00104183">
      <w:pPr>
        <w:spacing w:after="0" w:line="240" w:lineRule="auto"/>
        <w:rPr>
          <w:sz w:val="24"/>
          <w:szCs w:val="24"/>
        </w:rPr>
      </w:pPr>
      <w:r w:rsidRPr="00CC6D8E">
        <w:rPr>
          <w:sz w:val="24"/>
          <w:szCs w:val="24"/>
        </w:rPr>
        <w:t xml:space="preserve">Finally, </w:t>
      </w:r>
      <w:r w:rsidR="009E48FA" w:rsidRPr="00CC6D8E">
        <w:rPr>
          <w:sz w:val="24"/>
          <w:szCs w:val="24"/>
        </w:rPr>
        <w:t>uncertainty regarding</w:t>
      </w:r>
      <w:r w:rsidR="00A63BF8" w:rsidRPr="00CC6D8E">
        <w:rPr>
          <w:sz w:val="24"/>
          <w:szCs w:val="24"/>
        </w:rPr>
        <w:t xml:space="preserve"> U.S.</w:t>
      </w:r>
      <w:r w:rsidR="009E48FA" w:rsidRPr="00CC6D8E">
        <w:rPr>
          <w:sz w:val="24"/>
          <w:szCs w:val="24"/>
        </w:rPr>
        <w:t xml:space="preserve"> monetary policy</w:t>
      </w:r>
      <w:r w:rsidRPr="00CC6D8E">
        <w:rPr>
          <w:sz w:val="24"/>
          <w:szCs w:val="24"/>
        </w:rPr>
        <w:t xml:space="preserve"> </w:t>
      </w:r>
      <w:r w:rsidR="003913AA" w:rsidRPr="00CC6D8E">
        <w:rPr>
          <w:sz w:val="24"/>
          <w:szCs w:val="24"/>
        </w:rPr>
        <w:t>in the wake of the</w:t>
      </w:r>
      <w:r w:rsidR="00A80CCB" w:rsidRPr="00CC6D8E">
        <w:rPr>
          <w:sz w:val="24"/>
          <w:szCs w:val="24"/>
        </w:rPr>
        <w:t xml:space="preserve"> </w:t>
      </w:r>
      <w:r w:rsidRPr="00CC6D8E">
        <w:rPr>
          <w:sz w:val="24"/>
          <w:szCs w:val="24"/>
        </w:rPr>
        <w:t xml:space="preserve">December </w:t>
      </w:r>
      <w:r w:rsidR="00A80CCB" w:rsidRPr="00CC6D8E">
        <w:rPr>
          <w:sz w:val="24"/>
          <w:szCs w:val="24"/>
        </w:rPr>
        <w:t xml:space="preserve">rate hike by the </w:t>
      </w:r>
      <w:r w:rsidR="00424FC2" w:rsidRPr="00CC6D8E">
        <w:rPr>
          <w:sz w:val="24"/>
          <w:szCs w:val="24"/>
        </w:rPr>
        <w:t xml:space="preserve">Federal Reserve </w:t>
      </w:r>
      <w:r w:rsidRPr="00CC6D8E">
        <w:rPr>
          <w:sz w:val="24"/>
          <w:szCs w:val="24"/>
        </w:rPr>
        <w:t xml:space="preserve">added yet another </w:t>
      </w:r>
      <w:r w:rsidR="00424FC2" w:rsidRPr="00CC6D8E">
        <w:rPr>
          <w:sz w:val="24"/>
          <w:szCs w:val="24"/>
        </w:rPr>
        <w:t>source</w:t>
      </w:r>
      <w:r w:rsidRPr="00CC6D8E">
        <w:rPr>
          <w:sz w:val="24"/>
          <w:szCs w:val="24"/>
        </w:rPr>
        <w:t xml:space="preserve"> of concern for investors, and that additional unknown caused a massive spike in market volatility</w:t>
      </w:r>
      <w:r w:rsidR="00424FC2" w:rsidRPr="00CC6D8E">
        <w:rPr>
          <w:sz w:val="24"/>
          <w:szCs w:val="24"/>
        </w:rPr>
        <w:t xml:space="preserve"> in late December</w:t>
      </w:r>
      <w:r w:rsidRPr="00CC6D8E">
        <w:rPr>
          <w:sz w:val="24"/>
          <w:szCs w:val="24"/>
        </w:rPr>
        <w:t xml:space="preserve">. </w:t>
      </w:r>
      <w:bookmarkStart w:id="4" w:name="_Hlk533761635"/>
      <w:bookmarkStart w:id="5" w:name="_Hlk534107634"/>
      <w:r w:rsidRPr="00CC6D8E">
        <w:rPr>
          <w:sz w:val="24"/>
          <w:szCs w:val="24"/>
        </w:rPr>
        <w:t>Specifically,</w:t>
      </w:r>
      <w:r w:rsidR="009E48FA" w:rsidRPr="00CC6D8E">
        <w:rPr>
          <w:sz w:val="24"/>
          <w:szCs w:val="24"/>
        </w:rPr>
        <w:t xml:space="preserve"> </w:t>
      </w:r>
      <w:r w:rsidRPr="00CC6D8E">
        <w:rPr>
          <w:sz w:val="24"/>
          <w:szCs w:val="24"/>
        </w:rPr>
        <w:t>t</w:t>
      </w:r>
      <w:r w:rsidR="009E48FA" w:rsidRPr="00CC6D8E">
        <w:rPr>
          <w:sz w:val="24"/>
          <w:szCs w:val="24"/>
        </w:rPr>
        <w:t>he Fed increased interest rates for the fourth time in 2018, despite the declines in stocks</w:t>
      </w:r>
      <w:r w:rsidRPr="00CC6D8E">
        <w:rPr>
          <w:sz w:val="24"/>
          <w:szCs w:val="24"/>
        </w:rPr>
        <w:t xml:space="preserve"> and wavering economic data, </w:t>
      </w:r>
      <w:r w:rsidR="009E48FA" w:rsidRPr="00CC6D8E">
        <w:rPr>
          <w:sz w:val="24"/>
          <w:szCs w:val="24"/>
        </w:rPr>
        <w:t xml:space="preserve">and signaled it expects to increase rates two more times in 2019. </w:t>
      </w:r>
      <w:r w:rsidRPr="00CC6D8E">
        <w:rPr>
          <w:sz w:val="24"/>
          <w:szCs w:val="24"/>
        </w:rPr>
        <w:t>That policy</w:t>
      </w:r>
      <w:r w:rsidR="003913AA" w:rsidRPr="00CC6D8E">
        <w:rPr>
          <w:sz w:val="24"/>
          <w:szCs w:val="24"/>
        </w:rPr>
        <w:t xml:space="preserve"> decision</w:t>
      </w:r>
      <w:r w:rsidRPr="00CC6D8E">
        <w:rPr>
          <w:sz w:val="24"/>
          <w:szCs w:val="24"/>
        </w:rPr>
        <w:t xml:space="preserve">, which </w:t>
      </w:r>
      <w:r w:rsidR="003913AA" w:rsidRPr="00CC6D8E">
        <w:rPr>
          <w:sz w:val="24"/>
          <w:szCs w:val="24"/>
        </w:rPr>
        <w:t>was</w:t>
      </w:r>
      <w:r w:rsidRPr="00CC6D8E">
        <w:rPr>
          <w:sz w:val="24"/>
          <w:szCs w:val="24"/>
        </w:rPr>
        <w:t xml:space="preserve"> more restrictive than investors were hoping for</w:t>
      </w:r>
      <w:r w:rsidR="007B3650" w:rsidRPr="00CC6D8E">
        <w:rPr>
          <w:sz w:val="24"/>
          <w:szCs w:val="24"/>
        </w:rPr>
        <w:t>,</w:t>
      </w:r>
      <w:r w:rsidRPr="00CC6D8E">
        <w:rPr>
          <w:sz w:val="24"/>
          <w:szCs w:val="24"/>
        </w:rPr>
        <w:t xml:space="preserve"> caused stocks to plunge</w:t>
      </w:r>
      <w:r w:rsidR="007B3650" w:rsidRPr="00CC6D8E">
        <w:rPr>
          <w:sz w:val="24"/>
          <w:szCs w:val="24"/>
        </w:rPr>
        <w:t xml:space="preserve"> as</w:t>
      </w:r>
      <w:r w:rsidRPr="00CC6D8E">
        <w:rPr>
          <w:sz w:val="24"/>
          <w:szCs w:val="24"/>
        </w:rPr>
        <w:t xml:space="preserve"> </w:t>
      </w:r>
      <w:r w:rsidR="003913AA" w:rsidRPr="00CC6D8E">
        <w:rPr>
          <w:sz w:val="24"/>
          <w:szCs w:val="24"/>
        </w:rPr>
        <w:t xml:space="preserve">the major equity indexes </w:t>
      </w:r>
      <w:r w:rsidRPr="00CC6D8E">
        <w:rPr>
          <w:sz w:val="24"/>
          <w:szCs w:val="24"/>
        </w:rPr>
        <w:t>dropped to</w:t>
      </w:r>
      <w:r w:rsidR="007B3650" w:rsidRPr="00CC6D8E">
        <w:rPr>
          <w:sz w:val="24"/>
          <w:szCs w:val="24"/>
        </w:rPr>
        <w:t xml:space="preserve"> fresh</w:t>
      </w:r>
      <w:r w:rsidRPr="00CC6D8E">
        <w:rPr>
          <w:sz w:val="24"/>
          <w:szCs w:val="24"/>
        </w:rPr>
        <w:t xml:space="preserve"> </w:t>
      </w:r>
      <w:r w:rsidR="003913AA" w:rsidRPr="00CC6D8E">
        <w:rPr>
          <w:sz w:val="24"/>
          <w:szCs w:val="24"/>
        </w:rPr>
        <w:t>52-week</w:t>
      </w:r>
      <w:r w:rsidRPr="00CC6D8E">
        <w:rPr>
          <w:sz w:val="24"/>
          <w:szCs w:val="24"/>
        </w:rPr>
        <w:t xml:space="preserve"> lows during the final two weeks of December.</w:t>
      </w:r>
      <w:bookmarkEnd w:id="4"/>
      <w:r w:rsidR="00DA2A65" w:rsidRPr="00CC6D8E">
        <w:rPr>
          <w:sz w:val="24"/>
          <w:szCs w:val="24"/>
        </w:rPr>
        <w:t xml:space="preserve"> </w:t>
      </w:r>
      <w:r w:rsidR="004C5040" w:rsidRPr="00CC6D8E">
        <w:rPr>
          <w:sz w:val="24"/>
          <w:szCs w:val="24"/>
        </w:rPr>
        <w:t>Markets did bounce</w:t>
      </w:r>
      <w:r w:rsidR="003913AA" w:rsidRPr="00CC6D8E">
        <w:rPr>
          <w:sz w:val="24"/>
          <w:szCs w:val="24"/>
        </w:rPr>
        <w:t xml:space="preserve"> modestly</w:t>
      </w:r>
      <w:r w:rsidR="004C5040" w:rsidRPr="00CC6D8E">
        <w:rPr>
          <w:sz w:val="24"/>
          <w:szCs w:val="24"/>
        </w:rPr>
        <w:t xml:space="preserve"> during the final days of </w:t>
      </w:r>
      <w:r w:rsidR="00DA2A65" w:rsidRPr="00CC6D8E">
        <w:rPr>
          <w:sz w:val="24"/>
          <w:szCs w:val="24"/>
        </w:rPr>
        <w:t>2018</w:t>
      </w:r>
      <w:r w:rsidR="004C5040" w:rsidRPr="00CC6D8E">
        <w:rPr>
          <w:sz w:val="24"/>
          <w:szCs w:val="24"/>
        </w:rPr>
        <w:t xml:space="preserve"> to finish off the </w:t>
      </w:r>
      <w:r w:rsidR="003913AA" w:rsidRPr="00CC6D8E">
        <w:rPr>
          <w:sz w:val="24"/>
          <w:szCs w:val="24"/>
        </w:rPr>
        <w:t>worst levels</w:t>
      </w:r>
      <w:r w:rsidR="005A7BCD" w:rsidRPr="00CC6D8E">
        <w:rPr>
          <w:sz w:val="24"/>
          <w:szCs w:val="24"/>
        </w:rPr>
        <w:t xml:space="preserve"> of the year</w:t>
      </w:r>
      <w:r w:rsidR="004C5040" w:rsidRPr="00CC6D8E">
        <w:rPr>
          <w:sz w:val="24"/>
          <w:szCs w:val="24"/>
        </w:rPr>
        <w:t xml:space="preserve">, but still solidly negative </w:t>
      </w:r>
      <w:r w:rsidR="003913AA" w:rsidRPr="00CC6D8E">
        <w:rPr>
          <w:sz w:val="24"/>
          <w:szCs w:val="24"/>
        </w:rPr>
        <w:t>on an annual basis</w:t>
      </w:r>
      <w:r w:rsidR="004C5040" w:rsidRPr="00CC6D8E">
        <w:rPr>
          <w:sz w:val="24"/>
          <w:szCs w:val="24"/>
        </w:rPr>
        <w:t xml:space="preserve">.  </w:t>
      </w:r>
      <w:bookmarkEnd w:id="5"/>
    </w:p>
    <w:p w14:paraId="265396FD" w14:textId="77777777" w:rsidR="00A63BF8" w:rsidRPr="00CC6D8E" w:rsidRDefault="00A63BF8" w:rsidP="00104183">
      <w:pPr>
        <w:spacing w:after="0" w:line="240" w:lineRule="auto"/>
        <w:rPr>
          <w:sz w:val="24"/>
          <w:szCs w:val="24"/>
        </w:rPr>
      </w:pPr>
    </w:p>
    <w:p w14:paraId="3DF271DF" w14:textId="77777777" w:rsidR="00296FAF" w:rsidRPr="00CC6D8E" w:rsidRDefault="004C5040" w:rsidP="00104183">
      <w:pPr>
        <w:spacing w:after="0" w:line="240" w:lineRule="auto"/>
        <w:rPr>
          <w:sz w:val="24"/>
          <w:szCs w:val="24"/>
        </w:rPr>
      </w:pPr>
      <w:r w:rsidRPr="00CC6D8E">
        <w:rPr>
          <w:sz w:val="24"/>
          <w:szCs w:val="24"/>
        </w:rPr>
        <w:lastRenderedPageBreak/>
        <w:t>D</w:t>
      </w:r>
      <w:r w:rsidR="00A63BF8" w:rsidRPr="00CC6D8E">
        <w:rPr>
          <w:sz w:val="24"/>
          <w:szCs w:val="24"/>
        </w:rPr>
        <w:t>espite</w:t>
      </w:r>
      <w:r w:rsidR="009F4054" w:rsidRPr="00CC6D8E">
        <w:rPr>
          <w:sz w:val="24"/>
          <w:szCs w:val="24"/>
        </w:rPr>
        <w:t xml:space="preserve"> th</w:t>
      </w:r>
      <w:r w:rsidR="00986F69" w:rsidRPr="00CC6D8E">
        <w:rPr>
          <w:sz w:val="24"/>
          <w:szCs w:val="24"/>
        </w:rPr>
        <w:t xml:space="preserve">e legitimate concerns about economic growth, earnings and </w:t>
      </w:r>
      <w:r w:rsidR="00E029FD" w:rsidRPr="00CC6D8E">
        <w:rPr>
          <w:sz w:val="24"/>
          <w:szCs w:val="24"/>
        </w:rPr>
        <w:t>Fed policy,</w:t>
      </w:r>
      <w:r w:rsidRPr="00CC6D8E">
        <w:rPr>
          <w:sz w:val="24"/>
          <w:szCs w:val="24"/>
        </w:rPr>
        <w:t xml:space="preserve"> </w:t>
      </w:r>
      <w:r w:rsidR="00A63BF8" w:rsidRPr="00CC6D8E">
        <w:rPr>
          <w:sz w:val="24"/>
          <w:szCs w:val="24"/>
        </w:rPr>
        <w:t xml:space="preserve">the news in the fourth quarter wasn’t all bad. </w:t>
      </w:r>
      <w:bookmarkStart w:id="6" w:name="_Hlk534107656"/>
      <w:bookmarkStart w:id="7" w:name="_Hlk533761965"/>
    </w:p>
    <w:p w14:paraId="4671E5AC" w14:textId="77777777" w:rsidR="00296FAF" w:rsidRPr="00CC6D8E" w:rsidRDefault="00296FAF" w:rsidP="00104183">
      <w:pPr>
        <w:spacing w:after="0" w:line="240" w:lineRule="auto"/>
        <w:rPr>
          <w:sz w:val="24"/>
          <w:szCs w:val="24"/>
        </w:rPr>
      </w:pPr>
    </w:p>
    <w:p w14:paraId="74DAC943" w14:textId="77777777" w:rsidR="00296FAF" w:rsidRPr="00CC6D8E" w:rsidRDefault="00A63BF8" w:rsidP="00104183">
      <w:pPr>
        <w:spacing w:after="0" w:line="240" w:lineRule="auto"/>
        <w:rPr>
          <w:sz w:val="24"/>
          <w:szCs w:val="24"/>
        </w:rPr>
      </w:pPr>
      <w:r w:rsidRPr="00CC6D8E">
        <w:rPr>
          <w:sz w:val="24"/>
          <w:szCs w:val="24"/>
        </w:rPr>
        <w:t>First, the U.S. and China agreed to a temporary trade war “truce” and began an intense, 90</w:t>
      </w:r>
      <w:r w:rsidR="004C5040" w:rsidRPr="00CC6D8E">
        <w:rPr>
          <w:sz w:val="24"/>
          <w:szCs w:val="24"/>
        </w:rPr>
        <w:t>-</w:t>
      </w:r>
      <w:r w:rsidRPr="00CC6D8E">
        <w:rPr>
          <w:sz w:val="24"/>
          <w:szCs w:val="24"/>
        </w:rPr>
        <w:t>day negot</w:t>
      </w:r>
      <w:r w:rsidR="004C5040" w:rsidRPr="00CC6D8E">
        <w:rPr>
          <w:sz w:val="24"/>
          <w:szCs w:val="24"/>
        </w:rPr>
        <w:t>ia</w:t>
      </w:r>
      <w:r w:rsidRPr="00CC6D8E">
        <w:rPr>
          <w:sz w:val="24"/>
          <w:szCs w:val="24"/>
        </w:rPr>
        <w:t>t</w:t>
      </w:r>
      <w:r w:rsidR="004C5040" w:rsidRPr="00CC6D8E">
        <w:rPr>
          <w:sz w:val="24"/>
          <w:szCs w:val="24"/>
        </w:rPr>
        <w:t>i</w:t>
      </w:r>
      <w:r w:rsidRPr="00CC6D8E">
        <w:rPr>
          <w:sz w:val="24"/>
          <w:szCs w:val="24"/>
        </w:rPr>
        <w:t xml:space="preserve">on period aimed at ending the trade war. </w:t>
      </w:r>
      <w:bookmarkStart w:id="8" w:name="_Hlk533762062"/>
      <w:bookmarkEnd w:id="6"/>
      <w:bookmarkEnd w:id="7"/>
    </w:p>
    <w:p w14:paraId="1788A2F1" w14:textId="77777777" w:rsidR="00296FAF" w:rsidRPr="00CC6D8E" w:rsidRDefault="00296FAF" w:rsidP="00104183">
      <w:pPr>
        <w:spacing w:after="0" w:line="240" w:lineRule="auto"/>
        <w:rPr>
          <w:sz w:val="24"/>
          <w:szCs w:val="24"/>
        </w:rPr>
      </w:pPr>
    </w:p>
    <w:p w14:paraId="76A1EFD2" w14:textId="77777777" w:rsidR="00296FAF" w:rsidRPr="00CC6D8E" w:rsidRDefault="00A63BF8" w:rsidP="00104183">
      <w:pPr>
        <w:spacing w:after="0" w:line="240" w:lineRule="auto"/>
        <w:rPr>
          <w:sz w:val="24"/>
          <w:szCs w:val="24"/>
        </w:rPr>
      </w:pPr>
      <w:r w:rsidRPr="00CC6D8E">
        <w:rPr>
          <w:sz w:val="24"/>
          <w:szCs w:val="24"/>
        </w:rPr>
        <w:t>Second,</w:t>
      </w:r>
      <w:r w:rsidR="00986F69" w:rsidRPr="00CC6D8E">
        <w:rPr>
          <w:sz w:val="24"/>
          <w:szCs w:val="24"/>
        </w:rPr>
        <w:t xml:space="preserve"> the European Union and</w:t>
      </w:r>
      <w:r w:rsidR="00A80CCB" w:rsidRPr="00CC6D8E">
        <w:rPr>
          <w:sz w:val="24"/>
          <w:szCs w:val="24"/>
        </w:rPr>
        <w:t xml:space="preserve"> the</w:t>
      </w:r>
      <w:r w:rsidR="00986F69" w:rsidRPr="00CC6D8E">
        <w:rPr>
          <w:sz w:val="24"/>
          <w:szCs w:val="24"/>
        </w:rPr>
        <w:t xml:space="preserve"> </w:t>
      </w:r>
      <w:r w:rsidR="00A80CCB" w:rsidRPr="00CC6D8E">
        <w:rPr>
          <w:sz w:val="24"/>
          <w:szCs w:val="24"/>
        </w:rPr>
        <w:t xml:space="preserve">Italian government </w:t>
      </w:r>
      <w:r w:rsidR="00986F69" w:rsidRPr="00CC6D8E">
        <w:rPr>
          <w:sz w:val="24"/>
          <w:szCs w:val="24"/>
        </w:rPr>
        <w:t xml:space="preserve">reached a compromise on </w:t>
      </w:r>
      <w:r w:rsidR="003913AA" w:rsidRPr="00CC6D8E">
        <w:rPr>
          <w:sz w:val="24"/>
          <w:szCs w:val="24"/>
        </w:rPr>
        <w:t>Italy’s proposed 2019</w:t>
      </w:r>
      <w:r w:rsidR="00986F69" w:rsidRPr="00CC6D8E">
        <w:rPr>
          <w:sz w:val="24"/>
          <w:szCs w:val="24"/>
        </w:rPr>
        <w:t xml:space="preserve"> budget that satisfied European Commission rules, thereby avoiding a political showdown.</w:t>
      </w:r>
      <w:bookmarkStart w:id="9" w:name="_Hlk533762132"/>
      <w:bookmarkEnd w:id="8"/>
      <w:r w:rsidR="00A80CCB" w:rsidRPr="00CC6D8E">
        <w:rPr>
          <w:sz w:val="24"/>
          <w:szCs w:val="24"/>
        </w:rPr>
        <w:t xml:space="preserve"> </w:t>
      </w:r>
    </w:p>
    <w:p w14:paraId="1392E1DB" w14:textId="77777777" w:rsidR="00296FAF" w:rsidRPr="00CC6D8E" w:rsidRDefault="00296FAF" w:rsidP="00104183">
      <w:pPr>
        <w:spacing w:after="0" w:line="240" w:lineRule="auto"/>
        <w:rPr>
          <w:sz w:val="24"/>
          <w:szCs w:val="24"/>
        </w:rPr>
      </w:pPr>
    </w:p>
    <w:p w14:paraId="5C3B7FFA" w14:textId="3D7A3011" w:rsidR="009E48FA" w:rsidRPr="00CC6D8E" w:rsidRDefault="00A80CCB" w:rsidP="00104183">
      <w:pPr>
        <w:spacing w:after="0" w:line="240" w:lineRule="auto"/>
        <w:rPr>
          <w:sz w:val="24"/>
          <w:szCs w:val="24"/>
        </w:rPr>
      </w:pPr>
      <w:r w:rsidRPr="00CC6D8E">
        <w:rPr>
          <w:sz w:val="24"/>
          <w:szCs w:val="24"/>
        </w:rPr>
        <w:t>Lastly</w:t>
      </w:r>
      <w:r w:rsidR="00986F69" w:rsidRPr="00CC6D8E">
        <w:rPr>
          <w:sz w:val="24"/>
          <w:szCs w:val="24"/>
        </w:rPr>
        <w:t>, most major indicators of U.S. economic growth, while exhibiting a loss of momentum, remained in solidly positive territory, meaning the economy is still growing</w:t>
      </w:r>
      <w:r w:rsidR="00E839E1" w:rsidRPr="00CC6D8E">
        <w:rPr>
          <w:sz w:val="24"/>
          <w:szCs w:val="24"/>
        </w:rPr>
        <w:t xml:space="preserve"> (albeit</w:t>
      </w:r>
      <w:r w:rsidRPr="00CC6D8E">
        <w:rPr>
          <w:sz w:val="24"/>
          <w:szCs w:val="24"/>
        </w:rPr>
        <w:t>,</w:t>
      </w:r>
      <w:r w:rsidR="00E839E1" w:rsidRPr="00CC6D8E">
        <w:rPr>
          <w:sz w:val="24"/>
          <w:szCs w:val="24"/>
        </w:rPr>
        <w:t xml:space="preserve"> potentially </w:t>
      </w:r>
      <w:r w:rsidR="003913AA" w:rsidRPr="00CC6D8E">
        <w:rPr>
          <w:sz w:val="24"/>
          <w:szCs w:val="24"/>
        </w:rPr>
        <w:t>at a slower pace</w:t>
      </w:r>
      <w:r w:rsidR="00E839E1" w:rsidRPr="00CC6D8E">
        <w:rPr>
          <w:sz w:val="24"/>
          <w:szCs w:val="24"/>
        </w:rPr>
        <w:t>)</w:t>
      </w:r>
      <w:r w:rsidR="00986F69" w:rsidRPr="00CC6D8E">
        <w:rPr>
          <w:sz w:val="24"/>
          <w:szCs w:val="24"/>
        </w:rPr>
        <w:t>. The November</w:t>
      </w:r>
      <w:r w:rsidR="003913AA" w:rsidRPr="00CC6D8E">
        <w:rPr>
          <w:sz w:val="24"/>
          <w:szCs w:val="24"/>
        </w:rPr>
        <w:t xml:space="preserve"> Employment Situation</w:t>
      </w:r>
      <w:r w:rsidR="007B3650" w:rsidRPr="00CC6D8E">
        <w:rPr>
          <w:sz w:val="24"/>
          <w:szCs w:val="24"/>
        </w:rPr>
        <w:t xml:space="preserve"> Report</w:t>
      </w:r>
      <w:r w:rsidR="00986F69" w:rsidRPr="00CC6D8E">
        <w:rPr>
          <w:sz w:val="24"/>
          <w:szCs w:val="24"/>
        </w:rPr>
        <w:t xml:space="preserve"> showed positive jobs growth and </w:t>
      </w:r>
      <w:r w:rsidR="007E3197" w:rsidRPr="00CC6D8E">
        <w:rPr>
          <w:sz w:val="24"/>
          <w:szCs w:val="24"/>
        </w:rPr>
        <w:t>an un</w:t>
      </w:r>
      <w:r w:rsidR="00986F69" w:rsidRPr="00CC6D8E">
        <w:rPr>
          <w:sz w:val="24"/>
          <w:szCs w:val="24"/>
        </w:rPr>
        <w:t xml:space="preserve">employment </w:t>
      </w:r>
      <w:r w:rsidR="007E3197" w:rsidRPr="00CC6D8E">
        <w:rPr>
          <w:sz w:val="24"/>
          <w:szCs w:val="24"/>
        </w:rPr>
        <w:t xml:space="preserve">rate </w:t>
      </w:r>
      <w:r w:rsidR="00986F69" w:rsidRPr="00CC6D8E">
        <w:rPr>
          <w:sz w:val="24"/>
          <w:szCs w:val="24"/>
        </w:rPr>
        <w:t>under 4%</w:t>
      </w:r>
      <w:r w:rsidR="00DA2A65" w:rsidRPr="00CC6D8E">
        <w:rPr>
          <w:sz w:val="24"/>
          <w:szCs w:val="24"/>
        </w:rPr>
        <w:t xml:space="preserve"> </w:t>
      </w:r>
      <w:r w:rsidR="00986F69" w:rsidRPr="00CC6D8E">
        <w:rPr>
          <w:sz w:val="24"/>
          <w:szCs w:val="24"/>
        </w:rPr>
        <w:t>while regi</w:t>
      </w:r>
      <w:r w:rsidR="00DA2A65" w:rsidRPr="00CC6D8E">
        <w:rPr>
          <w:sz w:val="24"/>
          <w:szCs w:val="24"/>
        </w:rPr>
        <w:t xml:space="preserve">onal </w:t>
      </w:r>
      <w:r w:rsidR="00986F69" w:rsidRPr="00CC6D8E">
        <w:rPr>
          <w:sz w:val="24"/>
          <w:szCs w:val="24"/>
        </w:rPr>
        <w:t xml:space="preserve">manufacturing surveys remained in positive territory.  </w:t>
      </w:r>
    </w:p>
    <w:bookmarkEnd w:id="9"/>
    <w:p w14:paraId="72EDF824" w14:textId="2E5573EA" w:rsidR="00986F69" w:rsidRPr="00CC6D8E" w:rsidRDefault="00986F69" w:rsidP="00104183">
      <w:pPr>
        <w:spacing w:after="0" w:line="240" w:lineRule="auto"/>
        <w:rPr>
          <w:sz w:val="24"/>
          <w:szCs w:val="24"/>
        </w:rPr>
      </w:pPr>
    </w:p>
    <w:p w14:paraId="7EC434FE" w14:textId="341A0FF0" w:rsidR="00424FC2" w:rsidRPr="00CC6D8E" w:rsidRDefault="00986F69" w:rsidP="00104183">
      <w:pPr>
        <w:spacing w:after="0" w:line="240" w:lineRule="auto"/>
        <w:rPr>
          <w:sz w:val="24"/>
          <w:szCs w:val="24"/>
        </w:rPr>
      </w:pPr>
      <w:r w:rsidRPr="00CC6D8E">
        <w:rPr>
          <w:sz w:val="24"/>
          <w:szCs w:val="24"/>
        </w:rPr>
        <w:t xml:space="preserve">In sum, 2018 was a </w:t>
      </w:r>
      <w:r w:rsidR="007B3650" w:rsidRPr="00CC6D8E">
        <w:rPr>
          <w:sz w:val="24"/>
          <w:szCs w:val="24"/>
        </w:rPr>
        <w:t xml:space="preserve">very </w:t>
      </w:r>
      <w:r w:rsidRPr="00CC6D8E">
        <w:rPr>
          <w:sz w:val="24"/>
          <w:szCs w:val="24"/>
        </w:rPr>
        <w:t xml:space="preserve">difficult year in the markets and for investors. Not only did </w:t>
      </w:r>
      <w:r w:rsidR="00A80CCB" w:rsidRPr="00CC6D8E">
        <w:rPr>
          <w:sz w:val="24"/>
          <w:szCs w:val="24"/>
        </w:rPr>
        <w:t xml:space="preserve">most </w:t>
      </w:r>
      <w:r w:rsidRPr="00CC6D8E">
        <w:rPr>
          <w:sz w:val="24"/>
          <w:szCs w:val="24"/>
        </w:rPr>
        <w:t>major</w:t>
      </w:r>
      <w:r w:rsidR="00A80CCB" w:rsidRPr="00CC6D8E">
        <w:rPr>
          <w:sz w:val="24"/>
          <w:szCs w:val="24"/>
        </w:rPr>
        <w:t xml:space="preserve"> stock</w:t>
      </w:r>
      <w:r w:rsidRPr="00CC6D8E">
        <w:rPr>
          <w:sz w:val="24"/>
          <w:szCs w:val="24"/>
        </w:rPr>
        <w:t xml:space="preserve"> </w:t>
      </w:r>
      <w:r w:rsidR="00254403" w:rsidRPr="00CC6D8E">
        <w:rPr>
          <w:sz w:val="24"/>
          <w:szCs w:val="24"/>
        </w:rPr>
        <w:t xml:space="preserve">indices post a </w:t>
      </w:r>
      <w:r w:rsidR="003913AA" w:rsidRPr="00CC6D8E">
        <w:rPr>
          <w:sz w:val="24"/>
          <w:szCs w:val="24"/>
        </w:rPr>
        <w:t xml:space="preserve">negative </w:t>
      </w:r>
      <w:r w:rsidR="00254403" w:rsidRPr="00CC6D8E">
        <w:rPr>
          <w:sz w:val="24"/>
          <w:szCs w:val="24"/>
        </w:rPr>
        <w:t>full</w:t>
      </w:r>
      <w:r w:rsidR="00DA2A65" w:rsidRPr="00CC6D8E">
        <w:rPr>
          <w:sz w:val="24"/>
          <w:szCs w:val="24"/>
        </w:rPr>
        <w:t>-</w:t>
      </w:r>
      <w:r w:rsidR="00254403" w:rsidRPr="00CC6D8E">
        <w:rPr>
          <w:sz w:val="24"/>
          <w:szCs w:val="24"/>
        </w:rPr>
        <w:t>year total return</w:t>
      </w:r>
      <w:r w:rsidRPr="00CC6D8E">
        <w:rPr>
          <w:sz w:val="24"/>
          <w:szCs w:val="24"/>
        </w:rPr>
        <w:t xml:space="preserve"> for the first time since </w:t>
      </w:r>
      <w:r w:rsidR="00254403" w:rsidRPr="00CC6D8E">
        <w:rPr>
          <w:sz w:val="24"/>
          <w:szCs w:val="24"/>
        </w:rPr>
        <w:t>2008</w:t>
      </w:r>
      <w:r w:rsidRPr="00CC6D8E">
        <w:rPr>
          <w:sz w:val="24"/>
          <w:szCs w:val="24"/>
        </w:rPr>
        <w:t xml:space="preserve">, but </w:t>
      </w:r>
      <w:r w:rsidR="00A80CCB" w:rsidRPr="00CC6D8E">
        <w:rPr>
          <w:sz w:val="24"/>
          <w:szCs w:val="24"/>
        </w:rPr>
        <w:t>the declines</w:t>
      </w:r>
      <w:r w:rsidRPr="00CC6D8E">
        <w:rPr>
          <w:sz w:val="24"/>
          <w:szCs w:val="24"/>
        </w:rPr>
        <w:t xml:space="preserve"> came with two episodes of intense</w:t>
      </w:r>
      <w:r w:rsidR="009D6FB4" w:rsidRPr="00CC6D8E">
        <w:rPr>
          <w:sz w:val="24"/>
          <w:szCs w:val="24"/>
        </w:rPr>
        <w:t>, confidence</w:t>
      </w:r>
      <w:r w:rsidR="003913AA" w:rsidRPr="00CC6D8E">
        <w:rPr>
          <w:sz w:val="24"/>
          <w:szCs w:val="24"/>
        </w:rPr>
        <w:t>-</w:t>
      </w:r>
      <w:r w:rsidR="009D6FB4" w:rsidRPr="00CC6D8E">
        <w:rPr>
          <w:sz w:val="24"/>
          <w:szCs w:val="24"/>
        </w:rPr>
        <w:t>shaking</w:t>
      </w:r>
      <w:r w:rsidRPr="00CC6D8E">
        <w:rPr>
          <w:sz w:val="24"/>
          <w:szCs w:val="24"/>
        </w:rPr>
        <w:t xml:space="preserve"> volatility in the first and fourth quarter</w:t>
      </w:r>
      <w:r w:rsidR="003913AA" w:rsidRPr="00CC6D8E">
        <w:rPr>
          <w:sz w:val="24"/>
          <w:szCs w:val="24"/>
        </w:rPr>
        <w:t>s</w:t>
      </w:r>
      <w:r w:rsidRPr="00CC6D8E">
        <w:rPr>
          <w:sz w:val="24"/>
          <w:szCs w:val="24"/>
        </w:rPr>
        <w:t>.</w:t>
      </w:r>
      <w:r w:rsidR="009D6FB4" w:rsidRPr="00CC6D8E">
        <w:rPr>
          <w:sz w:val="24"/>
          <w:szCs w:val="24"/>
        </w:rPr>
        <w:t xml:space="preserve"> </w:t>
      </w:r>
    </w:p>
    <w:p w14:paraId="66E36CD7" w14:textId="77777777" w:rsidR="00E839E1" w:rsidRPr="00CC6D8E" w:rsidRDefault="00E839E1" w:rsidP="00104183">
      <w:pPr>
        <w:spacing w:after="0" w:line="240" w:lineRule="auto"/>
        <w:rPr>
          <w:sz w:val="24"/>
          <w:szCs w:val="24"/>
        </w:rPr>
      </w:pPr>
    </w:p>
    <w:p w14:paraId="796EBE7F" w14:textId="4C1DCC32" w:rsidR="00986F69" w:rsidRPr="00CC6D8E" w:rsidRDefault="009D6FB4" w:rsidP="00104183">
      <w:pPr>
        <w:spacing w:after="0" w:line="240" w:lineRule="auto"/>
        <w:rPr>
          <w:sz w:val="24"/>
          <w:szCs w:val="24"/>
        </w:rPr>
      </w:pPr>
      <w:r w:rsidRPr="00CC6D8E">
        <w:rPr>
          <w:sz w:val="24"/>
          <w:szCs w:val="24"/>
        </w:rPr>
        <w:t>But, it’s important to remember that while volatile markets can and will occur, just like they did</w:t>
      </w:r>
      <w:r w:rsidR="00424FC2" w:rsidRPr="00CC6D8E">
        <w:rPr>
          <w:sz w:val="24"/>
          <w:szCs w:val="24"/>
        </w:rPr>
        <w:t xml:space="preserve"> most recently</w:t>
      </w:r>
      <w:r w:rsidRPr="00CC6D8E">
        <w:rPr>
          <w:sz w:val="24"/>
          <w:szCs w:val="24"/>
        </w:rPr>
        <w:t xml:space="preserve"> in 2011 and 2015, the fundamental drivers of the multi-year rise in stocks remain generally in place, and that’s important context to remember as we begin a new quarter and </w:t>
      </w:r>
      <w:r w:rsidR="003913AA" w:rsidRPr="00CC6D8E">
        <w:rPr>
          <w:sz w:val="24"/>
          <w:szCs w:val="24"/>
        </w:rPr>
        <w:t xml:space="preserve">calendar </w:t>
      </w:r>
      <w:r w:rsidRPr="00CC6D8E">
        <w:rPr>
          <w:sz w:val="24"/>
          <w:szCs w:val="24"/>
        </w:rPr>
        <w:t>year.</w:t>
      </w:r>
      <w:r w:rsidR="00986F69" w:rsidRPr="00CC6D8E">
        <w:rPr>
          <w:sz w:val="24"/>
          <w:szCs w:val="24"/>
        </w:rPr>
        <w:t xml:space="preserve"> </w:t>
      </w:r>
    </w:p>
    <w:p w14:paraId="104332AB" w14:textId="77777777" w:rsidR="00986F69" w:rsidRPr="00CC6D8E" w:rsidRDefault="00986F69" w:rsidP="00104183">
      <w:pPr>
        <w:spacing w:after="0" w:line="240" w:lineRule="auto"/>
        <w:rPr>
          <w:sz w:val="24"/>
          <w:szCs w:val="24"/>
        </w:rPr>
      </w:pPr>
    </w:p>
    <w:p w14:paraId="3B677851" w14:textId="4461B645" w:rsidR="002D017C" w:rsidRPr="00CC6D8E" w:rsidRDefault="002D017C" w:rsidP="000D091B">
      <w:pPr>
        <w:spacing w:after="0" w:line="240" w:lineRule="auto"/>
        <w:rPr>
          <w:sz w:val="24"/>
          <w:szCs w:val="24"/>
        </w:rPr>
      </w:pPr>
    </w:p>
    <w:p w14:paraId="739A6083" w14:textId="5E2F4A32" w:rsidR="006A4C3F" w:rsidRPr="00CC6D8E" w:rsidRDefault="00A76F18" w:rsidP="00CC6D8E">
      <w:pPr>
        <w:pStyle w:val="Heading2"/>
        <w:rPr>
          <w:sz w:val="24"/>
          <w:szCs w:val="24"/>
        </w:rPr>
      </w:pPr>
      <w:r w:rsidRPr="00CC6D8E">
        <w:rPr>
          <w:sz w:val="24"/>
          <w:szCs w:val="24"/>
        </w:rPr>
        <w:t>4</w:t>
      </w:r>
      <w:r w:rsidRPr="00CC6D8E">
        <w:rPr>
          <w:sz w:val="24"/>
          <w:szCs w:val="24"/>
          <w:vertAlign w:val="superscript"/>
        </w:rPr>
        <w:t>th</w:t>
      </w:r>
      <w:r w:rsidRPr="00CC6D8E">
        <w:rPr>
          <w:sz w:val="24"/>
          <w:szCs w:val="24"/>
        </w:rPr>
        <w:t xml:space="preserve"> </w:t>
      </w:r>
      <w:r w:rsidR="001E2BF9" w:rsidRPr="00CC6D8E">
        <w:rPr>
          <w:sz w:val="24"/>
          <w:szCs w:val="24"/>
        </w:rPr>
        <w:t xml:space="preserve">Quarter </w:t>
      </w:r>
      <w:r w:rsidR="00B905D9" w:rsidRPr="00CC6D8E">
        <w:rPr>
          <w:sz w:val="24"/>
          <w:szCs w:val="24"/>
        </w:rPr>
        <w:t xml:space="preserve">and Full Year 2018 </w:t>
      </w:r>
      <w:r w:rsidR="001E2BF9" w:rsidRPr="00CC6D8E">
        <w:rPr>
          <w:sz w:val="24"/>
          <w:szCs w:val="24"/>
        </w:rPr>
        <w:t>Performance Review</w:t>
      </w:r>
    </w:p>
    <w:p w14:paraId="6C6236FE" w14:textId="69DE7671" w:rsidR="00D85484" w:rsidRPr="00CC6D8E" w:rsidRDefault="00D85484" w:rsidP="002528FF">
      <w:pPr>
        <w:spacing w:after="0" w:line="240" w:lineRule="auto"/>
        <w:rPr>
          <w:rFonts w:cstheme="minorHAnsi"/>
          <w:sz w:val="24"/>
          <w:szCs w:val="24"/>
        </w:rPr>
      </w:pPr>
    </w:p>
    <w:p w14:paraId="318278C6" w14:textId="25CA5773" w:rsidR="005D0A6F" w:rsidRPr="00CC6D8E" w:rsidRDefault="003E3C4F" w:rsidP="00FF4813">
      <w:pPr>
        <w:spacing w:after="0" w:line="240" w:lineRule="auto"/>
        <w:rPr>
          <w:sz w:val="24"/>
          <w:szCs w:val="24"/>
        </w:rPr>
      </w:pPr>
      <w:r w:rsidRPr="00CC6D8E">
        <w:rPr>
          <w:sz w:val="24"/>
          <w:szCs w:val="24"/>
        </w:rPr>
        <w:t xml:space="preserve">The fourth quarter </w:t>
      </w:r>
      <w:r w:rsidR="00E839E1" w:rsidRPr="00CC6D8E">
        <w:rPr>
          <w:sz w:val="24"/>
          <w:szCs w:val="24"/>
        </w:rPr>
        <w:t xml:space="preserve">of 2018 </w:t>
      </w:r>
      <w:r w:rsidRPr="00CC6D8E">
        <w:rPr>
          <w:sz w:val="24"/>
          <w:szCs w:val="24"/>
        </w:rPr>
        <w:t>was the worst</w:t>
      </w:r>
      <w:r w:rsidR="00296FAF" w:rsidRPr="00CC6D8E">
        <w:rPr>
          <w:sz w:val="24"/>
          <w:szCs w:val="24"/>
        </w:rPr>
        <w:t xml:space="preserve"> quarter</w:t>
      </w:r>
      <w:r w:rsidR="00BA3BBF" w:rsidRPr="00CC6D8E">
        <w:rPr>
          <w:sz w:val="24"/>
          <w:szCs w:val="24"/>
        </w:rPr>
        <w:t xml:space="preserve"> in years</w:t>
      </w:r>
      <w:r w:rsidR="003913AA" w:rsidRPr="00CC6D8E">
        <w:rPr>
          <w:sz w:val="24"/>
          <w:szCs w:val="24"/>
        </w:rPr>
        <w:t xml:space="preserve"> </w:t>
      </w:r>
      <w:r w:rsidR="00BA3BBF" w:rsidRPr="00CC6D8E">
        <w:rPr>
          <w:sz w:val="24"/>
          <w:szCs w:val="24"/>
        </w:rPr>
        <w:t xml:space="preserve">as the S&amp;P 500 saw its biggest quarterly decline since </w:t>
      </w:r>
      <w:r w:rsidR="00A80CCB" w:rsidRPr="00CC6D8E">
        <w:rPr>
          <w:sz w:val="24"/>
          <w:szCs w:val="24"/>
        </w:rPr>
        <w:t>Q3</w:t>
      </w:r>
      <w:r w:rsidR="00E839E1" w:rsidRPr="00CC6D8E">
        <w:rPr>
          <w:sz w:val="24"/>
          <w:szCs w:val="24"/>
        </w:rPr>
        <w:t xml:space="preserve"> of 2011.</w:t>
      </w:r>
      <w:r w:rsidR="005D0A6F" w:rsidRPr="00CC6D8E">
        <w:rPr>
          <w:sz w:val="24"/>
          <w:szCs w:val="24"/>
        </w:rPr>
        <w:t xml:space="preserve"> Of the four major stock indices (S&amp;P 500, Dow Industrials, Nasdaq, Russell 2000) only the tech heavy Nasdaq managed a positive total return in 2018.  </w:t>
      </w:r>
    </w:p>
    <w:p w14:paraId="53A91A9A" w14:textId="77777777" w:rsidR="005D0A6F" w:rsidRPr="00CC6D8E" w:rsidRDefault="005D0A6F" w:rsidP="00FF4813">
      <w:pPr>
        <w:spacing w:after="0" w:line="240" w:lineRule="auto"/>
        <w:rPr>
          <w:sz w:val="24"/>
          <w:szCs w:val="24"/>
        </w:rPr>
      </w:pPr>
    </w:p>
    <w:p w14:paraId="2E30B10F" w14:textId="43D59257" w:rsidR="00B93F71" w:rsidRPr="00CC6D8E" w:rsidRDefault="005D0A6F" w:rsidP="00FF4813">
      <w:pPr>
        <w:spacing w:after="0" w:line="240" w:lineRule="auto"/>
        <w:rPr>
          <w:sz w:val="24"/>
          <w:szCs w:val="24"/>
        </w:rPr>
      </w:pPr>
      <w:bookmarkStart w:id="10" w:name="_Hlk533764336"/>
      <w:r w:rsidRPr="00CC6D8E">
        <w:rPr>
          <w:sz w:val="24"/>
          <w:szCs w:val="24"/>
        </w:rPr>
        <w:t xml:space="preserve">All </w:t>
      </w:r>
      <w:r w:rsidR="004F46A1" w:rsidRPr="00CC6D8E">
        <w:rPr>
          <w:sz w:val="24"/>
          <w:szCs w:val="24"/>
        </w:rPr>
        <w:t xml:space="preserve">market capitalizations saw a negative return in </w:t>
      </w:r>
      <w:r w:rsidR="00343E9D" w:rsidRPr="00CC6D8E">
        <w:rPr>
          <w:sz w:val="24"/>
          <w:szCs w:val="24"/>
        </w:rPr>
        <w:t>Q4</w:t>
      </w:r>
      <w:r w:rsidR="004F46A1" w:rsidRPr="00CC6D8E">
        <w:rPr>
          <w:sz w:val="24"/>
          <w:szCs w:val="24"/>
        </w:rPr>
        <w:t xml:space="preserve"> and for the full</w:t>
      </w:r>
      <w:r w:rsidR="00CA3577" w:rsidRPr="00CC6D8E">
        <w:rPr>
          <w:sz w:val="24"/>
          <w:szCs w:val="24"/>
        </w:rPr>
        <w:t xml:space="preserve"> </w:t>
      </w:r>
      <w:r w:rsidR="004F46A1" w:rsidRPr="00CC6D8E">
        <w:rPr>
          <w:sz w:val="24"/>
          <w:szCs w:val="24"/>
        </w:rPr>
        <w:t>year</w:t>
      </w:r>
      <w:r w:rsidR="00F147B6" w:rsidRPr="00CC6D8E">
        <w:rPr>
          <w:sz w:val="24"/>
          <w:szCs w:val="24"/>
        </w:rPr>
        <w:t xml:space="preserve"> </w:t>
      </w:r>
      <w:r w:rsidR="00C96CA1" w:rsidRPr="00CC6D8E">
        <w:rPr>
          <w:sz w:val="24"/>
          <w:szCs w:val="24"/>
        </w:rPr>
        <w:t xml:space="preserve">of </w:t>
      </w:r>
      <w:r w:rsidR="00F147B6" w:rsidRPr="00CC6D8E">
        <w:rPr>
          <w:sz w:val="24"/>
          <w:szCs w:val="24"/>
        </w:rPr>
        <w:t xml:space="preserve">2018. </w:t>
      </w:r>
      <w:r w:rsidR="00343E9D" w:rsidRPr="00CC6D8E">
        <w:rPr>
          <w:sz w:val="24"/>
          <w:szCs w:val="24"/>
        </w:rPr>
        <w:t>However,</w:t>
      </w:r>
      <w:r w:rsidR="00B93F71" w:rsidRPr="00CC6D8E">
        <w:rPr>
          <w:sz w:val="24"/>
          <w:szCs w:val="24"/>
        </w:rPr>
        <w:t xml:space="preserve"> on a relative basis</w:t>
      </w:r>
      <w:r w:rsidR="00CA3577" w:rsidRPr="00CC6D8E">
        <w:rPr>
          <w:sz w:val="24"/>
          <w:szCs w:val="24"/>
        </w:rPr>
        <w:t xml:space="preserve">, </w:t>
      </w:r>
      <w:r w:rsidR="00B93F71" w:rsidRPr="00CC6D8E">
        <w:rPr>
          <w:sz w:val="24"/>
          <w:szCs w:val="24"/>
        </w:rPr>
        <w:t xml:space="preserve">large caps outperformed small caps </w:t>
      </w:r>
      <w:r w:rsidR="00C96CA1" w:rsidRPr="00CC6D8E">
        <w:rPr>
          <w:sz w:val="24"/>
          <w:szCs w:val="24"/>
        </w:rPr>
        <w:t>over the course of the year and especially in the fourth quarter</w:t>
      </w:r>
      <w:r w:rsidR="00B93F71" w:rsidRPr="00CC6D8E">
        <w:rPr>
          <w:sz w:val="24"/>
          <w:szCs w:val="24"/>
        </w:rPr>
        <w:t xml:space="preserve"> as investor</w:t>
      </w:r>
      <w:r w:rsidR="00343E9D" w:rsidRPr="00CC6D8E">
        <w:rPr>
          <w:sz w:val="24"/>
          <w:szCs w:val="24"/>
        </w:rPr>
        <w:t xml:space="preserve">s’ </w:t>
      </w:r>
      <w:r w:rsidR="00B93F71" w:rsidRPr="00CC6D8E">
        <w:rPr>
          <w:sz w:val="24"/>
          <w:szCs w:val="24"/>
        </w:rPr>
        <w:t xml:space="preserve">concerns shifted from trade to economic growth during the </w:t>
      </w:r>
      <w:r w:rsidR="00C96CA1" w:rsidRPr="00CC6D8E">
        <w:rPr>
          <w:sz w:val="24"/>
          <w:szCs w:val="24"/>
        </w:rPr>
        <w:t>final months of the year</w:t>
      </w:r>
      <w:r w:rsidR="00B93F71" w:rsidRPr="00CC6D8E">
        <w:rPr>
          <w:sz w:val="24"/>
          <w:szCs w:val="24"/>
        </w:rPr>
        <w:t xml:space="preserve">.  </w:t>
      </w:r>
    </w:p>
    <w:bookmarkEnd w:id="10"/>
    <w:p w14:paraId="71352D71" w14:textId="77777777" w:rsidR="00B93F71" w:rsidRPr="00CC6D8E" w:rsidRDefault="00B93F71" w:rsidP="00FF4813">
      <w:pPr>
        <w:spacing w:after="0" w:line="240" w:lineRule="auto"/>
        <w:rPr>
          <w:sz w:val="24"/>
          <w:szCs w:val="24"/>
        </w:rPr>
      </w:pPr>
    </w:p>
    <w:p w14:paraId="5DD47DBE" w14:textId="210395D3" w:rsidR="004F46A1" w:rsidRPr="00CC6D8E" w:rsidRDefault="00B93F71" w:rsidP="00FF4813">
      <w:pPr>
        <w:spacing w:after="0" w:line="240" w:lineRule="auto"/>
        <w:rPr>
          <w:sz w:val="24"/>
          <w:szCs w:val="24"/>
        </w:rPr>
      </w:pPr>
      <w:bookmarkStart w:id="11" w:name="_Hlk533764368"/>
      <w:r w:rsidRPr="00CC6D8E">
        <w:rPr>
          <w:sz w:val="24"/>
          <w:szCs w:val="24"/>
        </w:rPr>
        <w:t xml:space="preserve">From a style standpoint, </w:t>
      </w:r>
      <w:r w:rsidR="008D4AF5" w:rsidRPr="00CC6D8E">
        <w:rPr>
          <w:sz w:val="24"/>
          <w:szCs w:val="24"/>
        </w:rPr>
        <w:t>value</w:t>
      </w:r>
      <w:r w:rsidRPr="00CC6D8E">
        <w:rPr>
          <w:sz w:val="24"/>
          <w:szCs w:val="24"/>
        </w:rPr>
        <w:t xml:space="preserve"> outperformed </w:t>
      </w:r>
      <w:r w:rsidR="008D4AF5" w:rsidRPr="00CC6D8E">
        <w:rPr>
          <w:sz w:val="24"/>
          <w:szCs w:val="24"/>
        </w:rPr>
        <w:t>growth</w:t>
      </w:r>
      <w:r w:rsidR="00E839E1" w:rsidRPr="00CC6D8E">
        <w:rPr>
          <w:sz w:val="24"/>
          <w:szCs w:val="24"/>
        </w:rPr>
        <w:t xml:space="preserve"> in </w:t>
      </w:r>
      <w:r w:rsidR="008D4AF5" w:rsidRPr="00CC6D8E">
        <w:rPr>
          <w:sz w:val="24"/>
          <w:szCs w:val="24"/>
        </w:rPr>
        <w:t>Q4</w:t>
      </w:r>
      <w:r w:rsidR="00E839E1" w:rsidRPr="00CC6D8E">
        <w:rPr>
          <w:sz w:val="24"/>
          <w:szCs w:val="24"/>
        </w:rPr>
        <w:t xml:space="preserve"> </w:t>
      </w:r>
      <w:r w:rsidR="008D4AF5" w:rsidRPr="00CC6D8E">
        <w:rPr>
          <w:sz w:val="24"/>
          <w:szCs w:val="24"/>
        </w:rPr>
        <w:t>but growth handily outperformed value</w:t>
      </w:r>
      <w:r w:rsidR="00E839E1" w:rsidRPr="00CC6D8E">
        <w:rPr>
          <w:sz w:val="24"/>
          <w:szCs w:val="24"/>
        </w:rPr>
        <w:t xml:space="preserve"> on a full-year basis,</w:t>
      </w:r>
      <w:r w:rsidRPr="00CC6D8E">
        <w:rPr>
          <w:sz w:val="24"/>
          <w:szCs w:val="24"/>
        </w:rPr>
        <w:t xml:space="preserve"> thanks predominantly to relative outperformance of</w:t>
      </w:r>
      <w:r w:rsidR="00230E4D" w:rsidRPr="00CC6D8E">
        <w:rPr>
          <w:sz w:val="24"/>
          <w:szCs w:val="24"/>
        </w:rPr>
        <w:t xml:space="preserve"> information</w:t>
      </w:r>
      <w:r w:rsidRPr="00CC6D8E">
        <w:rPr>
          <w:sz w:val="24"/>
          <w:szCs w:val="24"/>
        </w:rPr>
        <w:t xml:space="preserve"> tech</w:t>
      </w:r>
      <w:r w:rsidR="00473DA6" w:rsidRPr="00CC6D8E">
        <w:rPr>
          <w:sz w:val="24"/>
          <w:szCs w:val="24"/>
        </w:rPr>
        <w:t>nology</w:t>
      </w:r>
      <w:r w:rsidRPr="00CC6D8E">
        <w:rPr>
          <w:sz w:val="24"/>
          <w:szCs w:val="24"/>
        </w:rPr>
        <w:t xml:space="preserve"> and consumer discretionary</w:t>
      </w:r>
      <w:r w:rsidR="00473DA6" w:rsidRPr="00CC6D8E">
        <w:rPr>
          <w:sz w:val="24"/>
          <w:szCs w:val="24"/>
        </w:rPr>
        <w:t xml:space="preserve"> stocks</w:t>
      </w:r>
      <w:r w:rsidR="00A80CCB" w:rsidRPr="00CC6D8E">
        <w:rPr>
          <w:sz w:val="24"/>
          <w:szCs w:val="24"/>
        </w:rPr>
        <w:t xml:space="preserve">, however both growth and value styles finished the fourth quarter and the full year with negative total returns. </w:t>
      </w:r>
    </w:p>
    <w:bookmarkEnd w:id="11"/>
    <w:p w14:paraId="6F4467DD" w14:textId="77777777" w:rsidR="004F46A1" w:rsidRPr="00CC6D8E" w:rsidRDefault="004F46A1" w:rsidP="00FF4813">
      <w:pPr>
        <w:spacing w:after="0" w:line="240" w:lineRule="auto"/>
        <w:rPr>
          <w:sz w:val="24"/>
          <w:szCs w:val="24"/>
        </w:rPr>
      </w:pPr>
    </w:p>
    <w:p w14:paraId="611F652A" w14:textId="573E440B" w:rsidR="004F46A1" w:rsidRPr="00CC6D8E" w:rsidRDefault="001D2E4E" w:rsidP="00FF4813">
      <w:pPr>
        <w:spacing w:after="0" w:line="240" w:lineRule="auto"/>
        <w:rPr>
          <w:sz w:val="24"/>
          <w:szCs w:val="24"/>
        </w:rPr>
      </w:pPr>
      <w:bookmarkStart w:id="12" w:name="_Hlk533764420"/>
      <w:bookmarkStart w:id="13" w:name="_Hlk534106054"/>
      <w:r w:rsidRPr="00CC6D8E">
        <w:rPr>
          <w:sz w:val="24"/>
          <w:szCs w:val="24"/>
        </w:rPr>
        <w:t xml:space="preserve">Looking at sector performance, most major market sectors ended the fourth quarter with a decidedly negative total return, although utilities were the exception as the sector closed with a modest positive total return </w:t>
      </w:r>
      <w:r w:rsidR="00A80CCB" w:rsidRPr="00CC6D8E">
        <w:rPr>
          <w:sz w:val="24"/>
          <w:szCs w:val="24"/>
        </w:rPr>
        <w:t>in Q4</w:t>
      </w:r>
      <w:r w:rsidRPr="00CC6D8E">
        <w:rPr>
          <w:sz w:val="24"/>
          <w:szCs w:val="24"/>
        </w:rPr>
        <w:t>.</w:t>
      </w:r>
      <w:r w:rsidR="00CA3577" w:rsidRPr="00CC6D8E">
        <w:rPr>
          <w:sz w:val="24"/>
          <w:szCs w:val="24"/>
        </w:rPr>
        <w:t xml:space="preserve"> </w:t>
      </w:r>
      <w:bookmarkStart w:id="14" w:name="_Hlk533764575"/>
      <w:bookmarkEnd w:id="12"/>
      <w:r w:rsidR="00873B5F" w:rsidRPr="00CC6D8E">
        <w:rPr>
          <w:sz w:val="24"/>
          <w:szCs w:val="24"/>
        </w:rPr>
        <w:t>Generally speaking</w:t>
      </w:r>
      <w:r w:rsidR="00B905D9" w:rsidRPr="00CC6D8E">
        <w:rPr>
          <w:sz w:val="24"/>
          <w:szCs w:val="24"/>
        </w:rPr>
        <w:t>,</w:t>
      </w:r>
      <w:r w:rsidR="00873B5F" w:rsidRPr="00CC6D8E" w:rsidDel="00873B5F">
        <w:rPr>
          <w:sz w:val="24"/>
          <w:szCs w:val="24"/>
        </w:rPr>
        <w:t xml:space="preserve"> </w:t>
      </w:r>
      <w:r w:rsidR="00873B5F" w:rsidRPr="00CC6D8E">
        <w:rPr>
          <w:sz w:val="24"/>
          <w:szCs w:val="24"/>
        </w:rPr>
        <w:t>m</w:t>
      </w:r>
      <w:r w:rsidR="00E839E1" w:rsidRPr="00CC6D8E">
        <w:rPr>
          <w:sz w:val="24"/>
          <w:szCs w:val="24"/>
        </w:rPr>
        <w:t xml:space="preserve">arket </w:t>
      </w:r>
      <w:r w:rsidR="004F46A1" w:rsidRPr="00CC6D8E">
        <w:rPr>
          <w:sz w:val="24"/>
          <w:szCs w:val="24"/>
        </w:rPr>
        <w:t xml:space="preserve">sectors that </w:t>
      </w:r>
      <w:r w:rsidR="00BA3BBF" w:rsidRPr="00CC6D8E">
        <w:rPr>
          <w:sz w:val="24"/>
          <w:szCs w:val="24"/>
        </w:rPr>
        <w:t>are historically more sensitive to changes in</w:t>
      </w:r>
      <w:r w:rsidR="004F46A1" w:rsidRPr="00CC6D8E">
        <w:rPr>
          <w:sz w:val="24"/>
          <w:szCs w:val="24"/>
        </w:rPr>
        <w:t xml:space="preserve"> economic growth underperformed in </w:t>
      </w:r>
      <w:r w:rsidR="00873B5F" w:rsidRPr="00CC6D8E">
        <w:rPr>
          <w:sz w:val="24"/>
          <w:szCs w:val="24"/>
        </w:rPr>
        <w:t>2018, most notably in the fourth quarter</w:t>
      </w:r>
      <w:r w:rsidR="004F46A1" w:rsidRPr="00CC6D8E">
        <w:rPr>
          <w:sz w:val="24"/>
          <w:szCs w:val="24"/>
        </w:rPr>
        <w:t>. Energy, basic materials, industrial and financial</w:t>
      </w:r>
      <w:r w:rsidR="00C10E25" w:rsidRPr="00CC6D8E">
        <w:rPr>
          <w:sz w:val="24"/>
          <w:szCs w:val="24"/>
        </w:rPr>
        <w:t xml:space="preserve"> sectors</w:t>
      </w:r>
      <w:r w:rsidR="004F46A1" w:rsidRPr="00CC6D8E">
        <w:rPr>
          <w:sz w:val="24"/>
          <w:szCs w:val="24"/>
        </w:rPr>
        <w:t xml:space="preserve"> all declined sharply in </w:t>
      </w:r>
      <w:r w:rsidR="00BE17EC" w:rsidRPr="00CC6D8E">
        <w:rPr>
          <w:sz w:val="24"/>
          <w:szCs w:val="24"/>
        </w:rPr>
        <w:t>Q4</w:t>
      </w:r>
      <w:r w:rsidR="004F46A1" w:rsidRPr="00CC6D8E">
        <w:rPr>
          <w:sz w:val="24"/>
          <w:szCs w:val="24"/>
        </w:rPr>
        <w:t xml:space="preserve"> and finished with decidedly negative annual returns. </w:t>
      </w:r>
      <w:r w:rsidR="0065437A" w:rsidRPr="00CC6D8E">
        <w:rPr>
          <w:sz w:val="24"/>
          <w:szCs w:val="24"/>
        </w:rPr>
        <w:t xml:space="preserve">Less economically sensitive sectors </w:t>
      </w:r>
      <w:r w:rsidR="00A45C00" w:rsidRPr="00CC6D8E">
        <w:rPr>
          <w:sz w:val="24"/>
          <w:szCs w:val="24"/>
        </w:rPr>
        <w:t xml:space="preserve">such as </w:t>
      </w:r>
      <w:r w:rsidR="0065437A" w:rsidRPr="00CC6D8E">
        <w:rPr>
          <w:sz w:val="24"/>
          <w:szCs w:val="24"/>
        </w:rPr>
        <w:t xml:space="preserve">utilities, </w:t>
      </w:r>
      <w:r w:rsidR="004F46A1" w:rsidRPr="00CC6D8E">
        <w:rPr>
          <w:sz w:val="24"/>
          <w:szCs w:val="24"/>
        </w:rPr>
        <w:t xml:space="preserve">healthcare and consumer staples saw </w:t>
      </w:r>
      <w:r w:rsidR="00E839E1" w:rsidRPr="00CC6D8E">
        <w:rPr>
          <w:sz w:val="24"/>
          <w:szCs w:val="24"/>
        </w:rPr>
        <w:t xml:space="preserve">more mixed annual performance. </w:t>
      </w:r>
      <w:r w:rsidRPr="00CC6D8E">
        <w:rPr>
          <w:sz w:val="24"/>
          <w:szCs w:val="24"/>
        </w:rPr>
        <w:t xml:space="preserve">Healthcare was the best performing S&amp;P 500 market sector for 2018, while utilities also finished the year with a small positive return.  </w:t>
      </w:r>
    </w:p>
    <w:p w14:paraId="1474FAD7" w14:textId="77777777" w:rsidR="004F46A1" w:rsidRPr="00CC6D8E" w:rsidRDefault="004F46A1" w:rsidP="00FF4813">
      <w:pPr>
        <w:spacing w:after="0" w:line="240" w:lineRule="auto"/>
        <w:rPr>
          <w:sz w:val="24"/>
          <w:szCs w:val="24"/>
        </w:rPr>
      </w:pPr>
    </w:p>
    <w:p w14:paraId="037CA255" w14:textId="57138DF4" w:rsidR="00DE0864" w:rsidRPr="00CC6D8E" w:rsidRDefault="00B93F71" w:rsidP="00FF4813">
      <w:pPr>
        <w:spacing w:after="0" w:line="240" w:lineRule="auto"/>
        <w:rPr>
          <w:sz w:val="24"/>
          <w:szCs w:val="24"/>
        </w:rPr>
      </w:pPr>
      <w:r w:rsidRPr="00CC6D8E">
        <w:rPr>
          <w:sz w:val="24"/>
          <w:szCs w:val="24"/>
        </w:rPr>
        <w:lastRenderedPageBreak/>
        <w:t xml:space="preserve">As </w:t>
      </w:r>
      <w:r w:rsidR="00873B5F" w:rsidRPr="00CC6D8E">
        <w:rPr>
          <w:sz w:val="24"/>
          <w:szCs w:val="24"/>
        </w:rPr>
        <w:t xml:space="preserve">previously </w:t>
      </w:r>
      <w:r w:rsidRPr="00CC6D8E">
        <w:rPr>
          <w:sz w:val="24"/>
          <w:szCs w:val="24"/>
        </w:rPr>
        <w:t>mentioned, t</w:t>
      </w:r>
      <w:r w:rsidR="004F46A1" w:rsidRPr="00CC6D8E">
        <w:rPr>
          <w:sz w:val="24"/>
          <w:szCs w:val="24"/>
        </w:rPr>
        <w:t xml:space="preserve">wo sector outliers were </w:t>
      </w:r>
      <w:r w:rsidR="00BE17EC" w:rsidRPr="00CC6D8E">
        <w:rPr>
          <w:sz w:val="24"/>
          <w:szCs w:val="24"/>
        </w:rPr>
        <w:t>information technology</w:t>
      </w:r>
      <w:r w:rsidR="004F46A1" w:rsidRPr="00CC6D8E">
        <w:rPr>
          <w:sz w:val="24"/>
          <w:szCs w:val="24"/>
        </w:rPr>
        <w:t xml:space="preserve"> and consumer discretionary. Both sectors declined sharply in the fourth quarter, but thanks to strong performance </w:t>
      </w:r>
      <w:r w:rsidR="00873B5F" w:rsidRPr="00CC6D8E">
        <w:rPr>
          <w:sz w:val="24"/>
          <w:szCs w:val="24"/>
        </w:rPr>
        <w:t>earlier in the year,</w:t>
      </w:r>
      <w:r w:rsidR="004F46A1" w:rsidRPr="00CC6D8E">
        <w:rPr>
          <w:sz w:val="24"/>
          <w:szCs w:val="24"/>
        </w:rPr>
        <w:t xml:space="preserve"> </w:t>
      </w:r>
      <w:r w:rsidR="001D2E4E" w:rsidRPr="00CC6D8E">
        <w:rPr>
          <w:sz w:val="24"/>
          <w:szCs w:val="24"/>
        </w:rPr>
        <w:t xml:space="preserve">consumer discretionary finished </w:t>
      </w:r>
      <w:r w:rsidR="00873B5F" w:rsidRPr="00CC6D8E">
        <w:rPr>
          <w:sz w:val="24"/>
          <w:szCs w:val="24"/>
        </w:rPr>
        <w:t>2018</w:t>
      </w:r>
      <w:r w:rsidR="001D2E4E" w:rsidRPr="00CC6D8E">
        <w:rPr>
          <w:sz w:val="24"/>
          <w:szCs w:val="24"/>
        </w:rPr>
        <w:t xml:space="preserve"> with a small positive return, while information technology relatively outperformed the S&amp;P 500.  </w:t>
      </w:r>
      <w:r w:rsidR="004F46A1" w:rsidRPr="00CC6D8E">
        <w:rPr>
          <w:sz w:val="24"/>
          <w:szCs w:val="24"/>
        </w:rPr>
        <w:t xml:space="preserve">  </w:t>
      </w:r>
    </w:p>
    <w:bookmarkEnd w:id="13"/>
    <w:bookmarkEnd w:id="14"/>
    <w:p w14:paraId="15B97DD1" w14:textId="40975B12" w:rsidR="005A13BB" w:rsidRPr="00CC6D8E" w:rsidRDefault="005A13BB" w:rsidP="00FF4813">
      <w:pPr>
        <w:spacing w:after="0" w:line="240" w:lineRule="auto"/>
        <w:rPr>
          <w:sz w:val="24"/>
          <w:szCs w:val="24"/>
        </w:rPr>
      </w:pPr>
    </w:p>
    <w:tbl>
      <w:tblPr>
        <w:tblW w:w="8880" w:type="dxa"/>
        <w:jc w:val="center"/>
        <w:tblLook w:val="04A0" w:firstRow="1" w:lastRow="0" w:firstColumn="1" w:lastColumn="0" w:noHBand="0" w:noVBand="1"/>
      </w:tblPr>
      <w:tblGrid>
        <w:gridCol w:w="814"/>
        <w:gridCol w:w="814"/>
        <w:gridCol w:w="814"/>
        <w:gridCol w:w="814"/>
        <w:gridCol w:w="814"/>
        <w:gridCol w:w="814"/>
        <w:gridCol w:w="814"/>
        <w:gridCol w:w="814"/>
        <w:gridCol w:w="814"/>
        <w:gridCol w:w="814"/>
        <w:gridCol w:w="814"/>
        <w:gridCol w:w="814"/>
      </w:tblGrid>
      <w:tr w:rsidR="0055613A" w:rsidRPr="00CC6D8E" w14:paraId="5B26A1ED" w14:textId="77777777" w:rsidTr="00CC6D8E">
        <w:trPr>
          <w:trHeight w:val="320"/>
          <w:jc w:val="center"/>
        </w:trPr>
        <w:tc>
          <w:tcPr>
            <w:tcW w:w="8880" w:type="dxa"/>
            <w:gridSpan w:val="12"/>
            <w:tcBorders>
              <w:top w:val="single" w:sz="4" w:space="0" w:color="auto"/>
              <w:left w:val="single" w:sz="4" w:space="0" w:color="auto"/>
              <w:bottom w:val="single" w:sz="4" w:space="0" w:color="auto"/>
              <w:right w:val="single" w:sz="4" w:space="0" w:color="000000"/>
            </w:tcBorders>
            <w:shd w:val="clear" w:color="auto" w:fill="B4C6E7" w:themeFill="accent1" w:themeFillTint="66"/>
            <w:noWrap/>
            <w:vAlign w:val="center"/>
            <w:hideMark/>
          </w:tcPr>
          <w:p w14:paraId="62225BBF" w14:textId="18E7781E" w:rsidR="005A13BB" w:rsidRPr="00CC6D8E" w:rsidRDefault="005A13BB" w:rsidP="005A13BB">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S&amp;P 500 Total Returns by Month in 201</w:t>
            </w:r>
            <w:r w:rsidR="006B042B" w:rsidRPr="00CC6D8E">
              <w:rPr>
                <w:rFonts w:ascii="Calibri" w:eastAsia="Times New Roman" w:hAnsi="Calibri" w:cs="Calibri"/>
                <w:b/>
                <w:bCs/>
                <w:sz w:val="24"/>
                <w:szCs w:val="24"/>
              </w:rPr>
              <w:t>8</w:t>
            </w:r>
          </w:p>
        </w:tc>
      </w:tr>
      <w:tr w:rsidR="0055613A" w:rsidRPr="00CC6D8E" w14:paraId="129BB35E" w14:textId="77777777" w:rsidTr="005A13BB">
        <w:trPr>
          <w:trHeight w:val="3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41EDE61"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Jan</w:t>
            </w:r>
          </w:p>
        </w:tc>
        <w:tc>
          <w:tcPr>
            <w:tcW w:w="740" w:type="dxa"/>
            <w:tcBorders>
              <w:top w:val="nil"/>
              <w:left w:val="nil"/>
              <w:bottom w:val="single" w:sz="4" w:space="0" w:color="auto"/>
              <w:right w:val="single" w:sz="4" w:space="0" w:color="auto"/>
            </w:tcBorders>
            <w:shd w:val="clear" w:color="auto" w:fill="auto"/>
            <w:noWrap/>
            <w:vAlign w:val="center"/>
            <w:hideMark/>
          </w:tcPr>
          <w:p w14:paraId="5F4634E9"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Feb</w:t>
            </w:r>
          </w:p>
        </w:tc>
        <w:tc>
          <w:tcPr>
            <w:tcW w:w="740" w:type="dxa"/>
            <w:tcBorders>
              <w:top w:val="nil"/>
              <w:left w:val="nil"/>
              <w:bottom w:val="single" w:sz="4" w:space="0" w:color="auto"/>
              <w:right w:val="single" w:sz="4" w:space="0" w:color="auto"/>
            </w:tcBorders>
            <w:shd w:val="clear" w:color="auto" w:fill="auto"/>
            <w:noWrap/>
            <w:vAlign w:val="center"/>
            <w:hideMark/>
          </w:tcPr>
          <w:p w14:paraId="2368AA49"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Mar</w:t>
            </w:r>
          </w:p>
        </w:tc>
        <w:tc>
          <w:tcPr>
            <w:tcW w:w="740" w:type="dxa"/>
            <w:tcBorders>
              <w:top w:val="nil"/>
              <w:left w:val="nil"/>
              <w:bottom w:val="single" w:sz="4" w:space="0" w:color="auto"/>
              <w:right w:val="single" w:sz="4" w:space="0" w:color="auto"/>
            </w:tcBorders>
            <w:shd w:val="clear" w:color="auto" w:fill="auto"/>
            <w:noWrap/>
            <w:vAlign w:val="center"/>
            <w:hideMark/>
          </w:tcPr>
          <w:p w14:paraId="01596B9E"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Apr</w:t>
            </w:r>
          </w:p>
        </w:tc>
        <w:tc>
          <w:tcPr>
            <w:tcW w:w="740" w:type="dxa"/>
            <w:tcBorders>
              <w:top w:val="nil"/>
              <w:left w:val="nil"/>
              <w:bottom w:val="single" w:sz="4" w:space="0" w:color="auto"/>
              <w:right w:val="single" w:sz="4" w:space="0" w:color="auto"/>
            </w:tcBorders>
            <w:shd w:val="clear" w:color="auto" w:fill="auto"/>
            <w:noWrap/>
            <w:vAlign w:val="center"/>
            <w:hideMark/>
          </w:tcPr>
          <w:p w14:paraId="5E824F9C"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May</w:t>
            </w:r>
          </w:p>
        </w:tc>
        <w:tc>
          <w:tcPr>
            <w:tcW w:w="740" w:type="dxa"/>
            <w:tcBorders>
              <w:top w:val="nil"/>
              <w:left w:val="nil"/>
              <w:bottom w:val="single" w:sz="4" w:space="0" w:color="auto"/>
              <w:right w:val="single" w:sz="4" w:space="0" w:color="auto"/>
            </w:tcBorders>
            <w:shd w:val="clear" w:color="auto" w:fill="auto"/>
            <w:noWrap/>
            <w:vAlign w:val="center"/>
            <w:hideMark/>
          </w:tcPr>
          <w:p w14:paraId="4834EAE4"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Jun</w:t>
            </w:r>
          </w:p>
        </w:tc>
        <w:tc>
          <w:tcPr>
            <w:tcW w:w="740" w:type="dxa"/>
            <w:tcBorders>
              <w:top w:val="nil"/>
              <w:left w:val="nil"/>
              <w:bottom w:val="single" w:sz="4" w:space="0" w:color="auto"/>
              <w:right w:val="single" w:sz="4" w:space="0" w:color="auto"/>
            </w:tcBorders>
            <w:shd w:val="clear" w:color="auto" w:fill="auto"/>
            <w:noWrap/>
            <w:vAlign w:val="center"/>
            <w:hideMark/>
          </w:tcPr>
          <w:p w14:paraId="3123FC41"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Jul</w:t>
            </w:r>
          </w:p>
        </w:tc>
        <w:tc>
          <w:tcPr>
            <w:tcW w:w="740" w:type="dxa"/>
            <w:tcBorders>
              <w:top w:val="nil"/>
              <w:left w:val="nil"/>
              <w:bottom w:val="single" w:sz="4" w:space="0" w:color="auto"/>
              <w:right w:val="single" w:sz="4" w:space="0" w:color="auto"/>
            </w:tcBorders>
            <w:shd w:val="clear" w:color="auto" w:fill="auto"/>
            <w:noWrap/>
            <w:vAlign w:val="center"/>
            <w:hideMark/>
          </w:tcPr>
          <w:p w14:paraId="4C9111C5"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Aug</w:t>
            </w:r>
          </w:p>
        </w:tc>
        <w:tc>
          <w:tcPr>
            <w:tcW w:w="740" w:type="dxa"/>
            <w:tcBorders>
              <w:top w:val="nil"/>
              <w:left w:val="nil"/>
              <w:bottom w:val="single" w:sz="4" w:space="0" w:color="auto"/>
              <w:right w:val="single" w:sz="4" w:space="0" w:color="auto"/>
            </w:tcBorders>
            <w:shd w:val="clear" w:color="auto" w:fill="auto"/>
            <w:noWrap/>
            <w:vAlign w:val="center"/>
            <w:hideMark/>
          </w:tcPr>
          <w:p w14:paraId="74638955"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Sep</w:t>
            </w:r>
          </w:p>
        </w:tc>
        <w:tc>
          <w:tcPr>
            <w:tcW w:w="740" w:type="dxa"/>
            <w:tcBorders>
              <w:top w:val="nil"/>
              <w:left w:val="nil"/>
              <w:bottom w:val="single" w:sz="4" w:space="0" w:color="auto"/>
              <w:right w:val="single" w:sz="4" w:space="0" w:color="auto"/>
            </w:tcBorders>
            <w:shd w:val="clear" w:color="auto" w:fill="auto"/>
            <w:noWrap/>
            <w:vAlign w:val="center"/>
            <w:hideMark/>
          </w:tcPr>
          <w:p w14:paraId="299868C2"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Oct</w:t>
            </w:r>
          </w:p>
        </w:tc>
        <w:tc>
          <w:tcPr>
            <w:tcW w:w="740" w:type="dxa"/>
            <w:tcBorders>
              <w:top w:val="nil"/>
              <w:left w:val="nil"/>
              <w:bottom w:val="single" w:sz="4" w:space="0" w:color="auto"/>
              <w:right w:val="single" w:sz="4" w:space="0" w:color="auto"/>
            </w:tcBorders>
            <w:shd w:val="clear" w:color="auto" w:fill="auto"/>
            <w:noWrap/>
            <w:vAlign w:val="center"/>
            <w:hideMark/>
          </w:tcPr>
          <w:p w14:paraId="56F79D16"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Nov</w:t>
            </w:r>
          </w:p>
        </w:tc>
        <w:tc>
          <w:tcPr>
            <w:tcW w:w="740" w:type="dxa"/>
            <w:tcBorders>
              <w:top w:val="nil"/>
              <w:left w:val="nil"/>
              <w:bottom w:val="single" w:sz="4" w:space="0" w:color="auto"/>
              <w:right w:val="single" w:sz="4" w:space="0" w:color="auto"/>
            </w:tcBorders>
            <w:shd w:val="clear" w:color="auto" w:fill="auto"/>
            <w:noWrap/>
            <w:vAlign w:val="center"/>
            <w:hideMark/>
          </w:tcPr>
          <w:p w14:paraId="74524130" w14:textId="77777777" w:rsidR="005A13BB" w:rsidRPr="00CC6D8E" w:rsidRDefault="005A13BB" w:rsidP="005A13BB">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Dec</w:t>
            </w:r>
          </w:p>
        </w:tc>
      </w:tr>
      <w:tr w:rsidR="0055613A" w:rsidRPr="00CC6D8E" w14:paraId="16B1AFE7" w14:textId="77777777" w:rsidTr="005A13BB">
        <w:trPr>
          <w:trHeight w:val="32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A3CEA65" w14:textId="0C1C1802" w:rsidR="005A13BB" w:rsidRPr="00CC6D8E" w:rsidRDefault="00A57692"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5.73%</w:t>
            </w:r>
          </w:p>
        </w:tc>
        <w:tc>
          <w:tcPr>
            <w:tcW w:w="740" w:type="dxa"/>
            <w:tcBorders>
              <w:top w:val="nil"/>
              <w:left w:val="nil"/>
              <w:bottom w:val="single" w:sz="4" w:space="0" w:color="auto"/>
              <w:right w:val="single" w:sz="4" w:space="0" w:color="auto"/>
            </w:tcBorders>
            <w:shd w:val="clear" w:color="auto" w:fill="auto"/>
            <w:noWrap/>
            <w:vAlign w:val="center"/>
            <w:hideMark/>
          </w:tcPr>
          <w:p w14:paraId="0DF92F50" w14:textId="48C9752A" w:rsidR="005A13BB" w:rsidRPr="00CC6D8E" w:rsidRDefault="00A57692"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-3.69%</w:t>
            </w:r>
          </w:p>
        </w:tc>
        <w:tc>
          <w:tcPr>
            <w:tcW w:w="740" w:type="dxa"/>
            <w:tcBorders>
              <w:top w:val="nil"/>
              <w:left w:val="nil"/>
              <w:bottom w:val="single" w:sz="4" w:space="0" w:color="auto"/>
              <w:right w:val="single" w:sz="4" w:space="0" w:color="auto"/>
            </w:tcBorders>
            <w:shd w:val="clear" w:color="auto" w:fill="auto"/>
            <w:noWrap/>
            <w:vAlign w:val="center"/>
            <w:hideMark/>
          </w:tcPr>
          <w:p w14:paraId="2B98C50A" w14:textId="7DF2EF27" w:rsidR="005A13BB" w:rsidRPr="00CC6D8E" w:rsidRDefault="00A57692"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-2.54%</w:t>
            </w:r>
          </w:p>
        </w:tc>
        <w:tc>
          <w:tcPr>
            <w:tcW w:w="740" w:type="dxa"/>
            <w:tcBorders>
              <w:top w:val="nil"/>
              <w:left w:val="nil"/>
              <w:bottom w:val="single" w:sz="4" w:space="0" w:color="auto"/>
              <w:right w:val="single" w:sz="4" w:space="0" w:color="auto"/>
            </w:tcBorders>
            <w:shd w:val="clear" w:color="auto" w:fill="auto"/>
            <w:noWrap/>
            <w:vAlign w:val="center"/>
            <w:hideMark/>
          </w:tcPr>
          <w:p w14:paraId="1ECBD438" w14:textId="7D59884B" w:rsidR="005A13BB" w:rsidRPr="00CC6D8E" w:rsidRDefault="00A57692"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0.38%</w:t>
            </w:r>
          </w:p>
        </w:tc>
        <w:tc>
          <w:tcPr>
            <w:tcW w:w="740" w:type="dxa"/>
            <w:tcBorders>
              <w:top w:val="nil"/>
              <w:left w:val="nil"/>
              <w:bottom w:val="single" w:sz="4" w:space="0" w:color="auto"/>
              <w:right w:val="single" w:sz="4" w:space="0" w:color="auto"/>
            </w:tcBorders>
            <w:shd w:val="clear" w:color="auto" w:fill="auto"/>
            <w:noWrap/>
            <w:vAlign w:val="center"/>
            <w:hideMark/>
          </w:tcPr>
          <w:p w14:paraId="0C993C0B" w14:textId="19CD4A32" w:rsidR="005A13BB" w:rsidRPr="00CC6D8E" w:rsidRDefault="00A57692"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2.41%</w:t>
            </w:r>
          </w:p>
        </w:tc>
        <w:tc>
          <w:tcPr>
            <w:tcW w:w="740" w:type="dxa"/>
            <w:tcBorders>
              <w:top w:val="nil"/>
              <w:left w:val="nil"/>
              <w:bottom w:val="single" w:sz="4" w:space="0" w:color="auto"/>
              <w:right w:val="single" w:sz="4" w:space="0" w:color="auto"/>
            </w:tcBorders>
            <w:shd w:val="clear" w:color="auto" w:fill="auto"/>
            <w:noWrap/>
            <w:vAlign w:val="center"/>
            <w:hideMark/>
          </w:tcPr>
          <w:p w14:paraId="6DA12159" w14:textId="6E9C23FE" w:rsidR="005A13BB" w:rsidRPr="00CC6D8E" w:rsidRDefault="00A57692"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0.62%</w:t>
            </w:r>
          </w:p>
        </w:tc>
        <w:tc>
          <w:tcPr>
            <w:tcW w:w="740" w:type="dxa"/>
            <w:tcBorders>
              <w:top w:val="nil"/>
              <w:left w:val="nil"/>
              <w:bottom w:val="single" w:sz="4" w:space="0" w:color="auto"/>
              <w:right w:val="single" w:sz="4" w:space="0" w:color="auto"/>
            </w:tcBorders>
            <w:shd w:val="clear" w:color="auto" w:fill="auto"/>
            <w:noWrap/>
            <w:vAlign w:val="center"/>
            <w:hideMark/>
          </w:tcPr>
          <w:p w14:paraId="59894BBE" w14:textId="60081E08" w:rsidR="005A13BB" w:rsidRPr="00CC6D8E" w:rsidRDefault="00A57692"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3.72%</w:t>
            </w:r>
          </w:p>
        </w:tc>
        <w:tc>
          <w:tcPr>
            <w:tcW w:w="740" w:type="dxa"/>
            <w:tcBorders>
              <w:top w:val="nil"/>
              <w:left w:val="nil"/>
              <w:bottom w:val="single" w:sz="4" w:space="0" w:color="auto"/>
              <w:right w:val="single" w:sz="4" w:space="0" w:color="auto"/>
            </w:tcBorders>
            <w:shd w:val="clear" w:color="auto" w:fill="auto"/>
            <w:noWrap/>
            <w:vAlign w:val="center"/>
            <w:hideMark/>
          </w:tcPr>
          <w:p w14:paraId="032B8DF8" w14:textId="46B81E86" w:rsidR="005A13BB" w:rsidRPr="00CC6D8E" w:rsidRDefault="00A57692"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3.26%</w:t>
            </w:r>
          </w:p>
        </w:tc>
        <w:tc>
          <w:tcPr>
            <w:tcW w:w="740" w:type="dxa"/>
            <w:tcBorders>
              <w:top w:val="nil"/>
              <w:left w:val="nil"/>
              <w:bottom w:val="single" w:sz="4" w:space="0" w:color="auto"/>
              <w:right w:val="single" w:sz="4" w:space="0" w:color="auto"/>
            </w:tcBorders>
            <w:shd w:val="clear" w:color="auto" w:fill="auto"/>
            <w:noWrap/>
            <w:vAlign w:val="center"/>
            <w:hideMark/>
          </w:tcPr>
          <w:p w14:paraId="38F223AF" w14:textId="0177B067" w:rsidR="005A13BB" w:rsidRPr="00CC6D8E" w:rsidRDefault="00A57692"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0.57%</w:t>
            </w:r>
          </w:p>
        </w:tc>
        <w:tc>
          <w:tcPr>
            <w:tcW w:w="740" w:type="dxa"/>
            <w:tcBorders>
              <w:top w:val="nil"/>
              <w:left w:val="nil"/>
              <w:bottom w:val="single" w:sz="4" w:space="0" w:color="auto"/>
              <w:right w:val="single" w:sz="4" w:space="0" w:color="auto"/>
            </w:tcBorders>
            <w:shd w:val="clear" w:color="auto" w:fill="auto"/>
            <w:noWrap/>
            <w:vAlign w:val="center"/>
            <w:hideMark/>
          </w:tcPr>
          <w:p w14:paraId="3C4FBA15" w14:textId="739AC068" w:rsidR="005A13BB" w:rsidRPr="00CC6D8E" w:rsidRDefault="00A57692"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-6.84%</w:t>
            </w:r>
          </w:p>
        </w:tc>
        <w:tc>
          <w:tcPr>
            <w:tcW w:w="740" w:type="dxa"/>
            <w:tcBorders>
              <w:top w:val="nil"/>
              <w:left w:val="nil"/>
              <w:bottom w:val="single" w:sz="4" w:space="0" w:color="auto"/>
              <w:right w:val="single" w:sz="4" w:space="0" w:color="auto"/>
            </w:tcBorders>
            <w:shd w:val="clear" w:color="auto" w:fill="auto"/>
            <w:noWrap/>
            <w:vAlign w:val="center"/>
            <w:hideMark/>
          </w:tcPr>
          <w:p w14:paraId="59A28960" w14:textId="6C69F89F" w:rsidR="005A13BB" w:rsidRPr="00CC6D8E" w:rsidRDefault="00A57692"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2.04%</w:t>
            </w:r>
          </w:p>
        </w:tc>
        <w:tc>
          <w:tcPr>
            <w:tcW w:w="740" w:type="dxa"/>
            <w:tcBorders>
              <w:top w:val="nil"/>
              <w:left w:val="nil"/>
              <w:bottom w:val="single" w:sz="4" w:space="0" w:color="auto"/>
              <w:right w:val="single" w:sz="4" w:space="0" w:color="auto"/>
            </w:tcBorders>
            <w:shd w:val="clear" w:color="auto" w:fill="auto"/>
            <w:noWrap/>
            <w:vAlign w:val="center"/>
            <w:hideMark/>
          </w:tcPr>
          <w:p w14:paraId="4B7D083B" w14:textId="55E78661" w:rsidR="005A13BB" w:rsidRPr="00CC6D8E" w:rsidRDefault="0055613A" w:rsidP="005A13BB">
            <w:pPr>
              <w:spacing w:after="0" w:line="240" w:lineRule="auto"/>
              <w:jc w:val="center"/>
              <w:rPr>
                <w:rFonts w:ascii="Calibri" w:eastAsia="Times New Roman" w:hAnsi="Calibri" w:cs="Calibri"/>
                <w:bCs/>
                <w:sz w:val="24"/>
                <w:szCs w:val="24"/>
              </w:rPr>
            </w:pPr>
            <w:r w:rsidRPr="00CC6D8E">
              <w:rPr>
                <w:rFonts w:ascii="Calibri" w:eastAsia="Times New Roman" w:hAnsi="Calibri" w:cs="Calibri"/>
                <w:bCs/>
                <w:sz w:val="24"/>
                <w:szCs w:val="24"/>
              </w:rPr>
              <w:t>-9.03%</w:t>
            </w:r>
          </w:p>
        </w:tc>
      </w:tr>
    </w:tbl>
    <w:p w14:paraId="38BEEE48" w14:textId="6DB45E34" w:rsidR="00CC6D8E" w:rsidRDefault="0099658B" w:rsidP="00CC6D8E">
      <w:pPr>
        <w:spacing w:after="0" w:line="240" w:lineRule="auto"/>
        <w:jc w:val="center"/>
        <w:rPr>
          <w:i/>
          <w:sz w:val="24"/>
          <w:szCs w:val="24"/>
        </w:rPr>
      </w:pPr>
      <w:r w:rsidRPr="00CC6D8E">
        <w:rPr>
          <w:i/>
          <w:sz w:val="24"/>
          <w:szCs w:val="24"/>
        </w:rPr>
        <w:t>Source: Morningstar</w:t>
      </w:r>
    </w:p>
    <w:p w14:paraId="3B8EE82D" w14:textId="746DE6C7" w:rsidR="00CC6D8E" w:rsidRDefault="00CC6D8E" w:rsidP="00CC6D8E">
      <w:pPr>
        <w:spacing w:after="0" w:line="240" w:lineRule="auto"/>
        <w:jc w:val="center"/>
        <w:rPr>
          <w:sz w:val="24"/>
          <w:szCs w:val="24"/>
        </w:rPr>
      </w:pPr>
    </w:p>
    <w:p w14:paraId="1D496E20" w14:textId="77777777" w:rsidR="00CC6D8E" w:rsidRPr="00CC6D8E" w:rsidRDefault="00CC6D8E" w:rsidP="00CC6D8E">
      <w:pPr>
        <w:spacing w:after="0" w:line="240" w:lineRule="auto"/>
        <w:jc w:val="center"/>
        <w:rPr>
          <w:sz w:val="24"/>
          <w:szCs w:val="24"/>
        </w:rPr>
      </w:pPr>
    </w:p>
    <w:tbl>
      <w:tblPr>
        <w:tblW w:w="7240" w:type="dxa"/>
        <w:jc w:val="center"/>
        <w:tblCellMar>
          <w:top w:w="15" w:type="dxa"/>
          <w:bottom w:w="15" w:type="dxa"/>
        </w:tblCellMar>
        <w:tblLook w:val="04A0" w:firstRow="1" w:lastRow="0" w:firstColumn="1" w:lastColumn="0" w:noHBand="0" w:noVBand="1"/>
      </w:tblPr>
      <w:tblGrid>
        <w:gridCol w:w="4240"/>
        <w:gridCol w:w="1500"/>
        <w:gridCol w:w="1500"/>
      </w:tblGrid>
      <w:tr w:rsidR="0055613A" w:rsidRPr="00CC6D8E" w14:paraId="00731F6F" w14:textId="77777777" w:rsidTr="00CC6D8E">
        <w:trPr>
          <w:trHeight w:val="360"/>
          <w:jc w:val="center"/>
        </w:trPr>
        <w:tc>
          <w:tcPr>
            <w:tcW w:w="42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D196BFC" w14:textId="77777777" w:rsidR="0099658B" w:rsidRPr="00CC6D8E" w:rsidRDefault="0099658B" w:rsidP="0019772F">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US Equity Indexes</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3509677" w14:textId="145CB5B9" w:rsidR="0099658B" w:rsidRPr="00CC6D8E" w:rsidRDefault="0099658B" w:rsidP="0019772F">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Q4</w:t>
            </w:r>
            <w:r w:rsidR="008F4EA0" w:rsidRPr="00CC6D8E">
              <w:rPr>
                <w:rFonts w:ascii="Calibri" w:eastAsia="Times New Roman" w:hAnsi="Calibri" w:cs="Calibri"/>
                <w:b/>
                <w:bCs/>
                <w:sz w:val="24"/>
                <w:szCs w:val="24"/>
              </w:rPr>
              <w:t xml:space="preserve"> Return </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5A906B5" w14:textId="246EBDB0" w:rsidR="0099658B" w:rsidRPr="00CC6D8E" w:rsidRDefault="0099658B" w:rsidP="0019772F">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201</w:t>
            </w:r>
            <w:r w:rsidR="006B042B" w:rsidRPr="00CC6D8E">
              <w:rPr>
                <w:rFonts w:ascii="Calibri" w:eastAsia="Times New Roman" w:hAnsi="Calibri" w:cs="Calibri"/>
                <w:b/>
                <w:bCs/>
                <w:sz w:val="24"/>
                <w:szCs w:val="24"/>
              </w:rPr>
              <w:t>8</w:t>
            </w:r>
            <w:r w:rsidR="008F4EA0" w:rsidRPr="00CC6D8E">
              <w:rPr>
                <w:rFonts w:ascii="Calibri" w:eastAsia="Times New Roman" w:hAnsi="Calibri" w:cs="Calibri"/>
                <w:b/>
                <w:bCs/>
                <w:sz w:val="24"/>
                <w:szCs w:val="24"/>
              </w:rPr>
              <w:t xml:space="preserve"> Return </w:t>
            </w:r>
          </w:p>
        </w:tc>
      </w:tr>
      <w:tr w:rsidR="0055613A" w:rsidRPr="00CC6D8E" w14:paraId="76061108" w14:textId="77777777" w:rsidTr="0019772F">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hideMark/>
          </w:tcPr>
          <w:p w14:paraId="5B8988FD" w14:textId="77777777" w:rsidR="0099658B" w:rsidRPr="00CC6D8E" w:rsidRDefault="0099658B" w:rsidP="0019772F">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S&amp;P 500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6593D6F" w14:textId="3D3C2724" w:rsidR="0099658B" w:rsidRPr="00CC6D8E" w:rsidRDefault="00102719"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-13.52%</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896A35D" w14:textId="6306DDC8" w:rsidR="0099658B" w:rsidRPr="00CC6D8E" w:rsidRDefault="00102719"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-4.38%</w:t>
            </w:r>
          </w:p>
        </w:tc>
      </w:tr>
      <w:tr w:rsidR="0055613A" w:rsidRPr="00CC6D8E" w14:paraId="6359D906" w14:textId="77777777" w:rsidTr="0019772F">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tcPr>
          <w:p w14:paraId="61C84F79" w14:textId="77777777" w:rsidR="0099658B" w:rsidRPr="00CC6D8E" w:rsidRDefault="0099658B" w:rsidP="0019772F">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DJ Industrial Average</w:t>
            </w:r>
          </w:p>
        </w:tc>
        <w:tc>
          <w:tcPr>
            <w:tcW w:w="1500" w:type="dxa"/>
            <w:tcBorders>
              <w:top w:val="single" w:sz="4" w:space="0" w:color="auto"/>
              <w:left w:val="single" w:sz="4" w:space="0" w:color="auto"/>
              <w:bottom w:val="single" w:sz="4" w:space="0" w:color="auto"/>
              <w:right w:val="single" w:sz="4" w:space="0" w:color="auto"/>
            </w:tcBorders>
            <w:vAlign w:val="center"/>
          </w:tcPr>
          <w:p w14:paraId="5C9DC0A1" w14:textId="6D63A3E2" w:rsidR="0099658B" w:rsidRPr="00CC6D8E" w:rsidRDefault="00102719"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-11.31%</w:t>
            </w:r>
          </w:p>
        </w:tc>
        <w:tc>
          <w:tcPr>
            <w:tcW w:w="1500" w:type="dxa"/>
            <w:tcBorders>
              <w:top w:val="single" w:sz="4" w:space="0" w:color="auto"/>
              <w:left w:val="single" w:sz="4" w:space="0" w:color="auto"/>
              <w:bottom w:val="single" w:sz="4" w:space="0" w:color="auto"/>
              <w:right w:val="single" w:sz="4" w:space="0" w:color="auto"/>
            </w:tcBorders>
            <w:vAlign w:val="center"/>
          </w:tcPr>
          <w:p w14:paraId="2AF3BB01" w14:textId="70D56490" w:rsidR="0099658B" w:rsidRPr="00CC6D8E" w:rsidRDefault="00102719"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-3.48%</w:t>
            </w:r>
          </w:p>
        </w:tc>
      </w:tr>
      <w:tr w:rsidR="0055613A" w:rsidRPr="00CC6D8E" w14:paraId="22857EEE" w14:textId="77777777" w:rsidTr="0019772F">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hideMark/>
          </w:tcPr>
          <w:p w14:paraId="08E795D9" w14:textId="77777777" w:rsidR="0099658B" w:rsidRPr="00CC6D8E" w:rsidRDefault="0099658B" w:rsidP="0019772F">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 xml:space="preserve">NASDAQ Composite </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76C5111" w14:textId="27BC9AB2" w:rsidR="0099658B" w:rsidRPr="00CC6D8E" w:rsidRDefault="00102719"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-16.76%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16ECB99" w14:textId="118F463A" w:rsidR="0099658B" w:rsidRPr="00CC6D8E" w:rsidRDefault="00D50C74"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0.04%</w:t>
            </w:r>
          </w:p>
        </w:tc>
      </w:tr>
      <w:tr w:rsidR="0055613A" w:rsidRPr="00CC6D8E" w14:paraId="151B3FD8" w14:textId="77777777" w:rsidTr="0019772F">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hideMark/>
          </w:tcPr>
          <w:p w14:paraId="76633BD6" w14:textId="77777777" w:rsidR="0099658B" w:rsidRPr="00CC6D8E" w:rsidRDefault="0099658B" w:rsidP="0019772F">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S&amp;P MidCap 400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7FB769A" w14:textId="5F2F8F8E" w:rsidR="0099658B" w:rsidRPr="00CC6D8E" w:rsidRDefault="00D50C74"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-17.28%</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501E782" w14:textId="0CDDD898" w:rsidR="0099658B" w:rsidRPr="00CC6D8E" w:rsidRDefault="00D50C74"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-11.08%</w:t>
            </w:r>
          </w:p>
        </w:tc>
      </w:tr>
      <w:tr w:rsidR="0055613A" w:rsidRPr="00CC6D8E" w14:paraId="6117ED78" w14:textId="77777777" w:rsidTr="0019772F">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hideMark/>
          </w:tcPr>
          <w:p w14:paraId="516CFE3C" w14:textId="77777777" w:rsidR="0099658B" w:rsidRPr="00CC6D8E" w:rsidRDefault="0099658B" w:rsidP="0019772F">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Russell 2000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D62298C" w14:textId="18874CCE" w:rsidR="0099658B" w:rsidRPr="00CC6D8E" w:rsidRDefault="00D50C74"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-20.20%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9E0D354" w14:textId="00E9481D" w:rsidR="0099658B" w:rsidRPr="00CC6D8E" w:rsidRDefault="00D50C74"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-11.01%</w:t>
            </w:r>
          </w:p>
        </w:tc>
      </w:tr>
    </w:tbl>
    <w:p w14:paraId="6DFDF805" w14:textId="77777777" w:rsidR="0099658B" w:rsidRPr="00CC6D8E" w:rsidRDefault="0099658B" w:rsidP="0099658B">
      <w:pPr>
        <w:spacing w:after="0" w:line="240" w:lineRule="auto"/>
        <w:jc w:val="center"/>
        <w:rPr>
          <w:i/>
          <w:sz w:val="24"/>
          <w:szCs w:val="24"/>
        </w:rPr>
      </w:pPr>
      <w:r w:rsidRPr="00CC6D8E">
        <w:rPr>
          <w:i/>
          <w:sz w:val="24"/>
          <w:szCs w:val="24"/>
        </w:rPr>
        <w:t>Source: Morningstar</w:t>
      </w:r>
    </w:p>
    <w:p w14:paraId="3E51332F" w14:textId="77777777" w:rsidR="00381A76" w:rsidRPr="00CC6D8E" w:rsidRDefault="00381A76" w:rsidP="00FF4813">
      <w:pPr>
        <w:spacing w:after="0" w:line="240" w:lineRule="auto"/>
        <w:rPr>
          <w:sz w:val="24"/>
          <w:szCs w:val="24"/>
        </w:rPr>
      </w:pPr>
    </w:p>
    <w:p w14:paraId="0F2D3E6E" w14:textId="1CFF580B" w:rsidR="005A13BB" w:rsidRPr="00CC6D8E" w:rsidRDefault="00254105" w:rsidP="00C27CA6">
      <w:pPr>
        <w:spacing w:after="0" w:line="240" w:lineRule="auto"/>
        <w:rPr>
          <w:rFonts w:cstheme="minorHAnsi"/>
          <w:sz w:val="24"/>
          <w:szCs w:val="24"/>
        </w:rPr>
      </w:pPr>
      <w:r w:rsidRPr="00CC6D8E">
        <w:rPr>
          <w:rFonts w:cstheme="minorHAnsi"/>
          <w:sz w:val="24"/>
          <w:szCs w:val="24"/>
        </w:rPr>
        <w:t xml:space="preserve">Looking </w:t>
      </w:r>
      <w:r w:rsidR="00C10E25" w:rsidRPr="00CC6D8E">
        <w:rPr>
          <w:rFonts w:cstheme="minorHAnsi"/>
          <w:sz w:val="24"/>
          <w:szCs w:val="24"/>
        </w:rPr>
        <w:t>overseas</w:t>
      </w:r>
      <w:r w:rsidRPr="00CC6D8E">
        <w:rPr>
          <w:rFonts w:cstheme="minorHAnsi"/>
          <w:sz w:val="24"/>
          <w:szCs w:val="24"/>
        </w:rPr>
        <w:t>,</w:t>
      </w:r>
      <w:r w:rsidR="00C10E25" w:rsidRPr="00CC6D8E">
        <w:rPr>
          <w:rFonts w:cstheme="minorHAnsi"/>
          <w:sz w:val="24"/>
          <w:szCs w:val="24"/>
        </w:rPr>
        <w:t xml:space="preserve"> 2018 was a very difficult and disappointing year for foreign markets as they faced multiple headwinds which negatively impacted returns including political uncertainty via Brexit, lackluster economic growth in Japan and China, and emerging market political stress in Turkey (especially during the </w:t>
      </w:r>
      <w:r w:rsidR="005630EA" w:rsidRPr="00CC6D8E">
        <w:rPr>
          <w:rFonts w:cstheme="minorHAnsi"/>
          <w:sz w:val="24"/>
          <w:szCs w:val="24"/>
        </w:rPr>
        <w:t>third</w:t>
      </w:r>
      <w:r w:rsidR="00C10E25" w:rsidRPr="00CC6D8E">
        <w:rPr>
          <w:rFonts w:cstheme="minorHAnsi"/>
          <w:sz w:val="24"/>
          <w:szCs w:val="24"/>
        </w:rPr>
        <w:t xml:space="preserve"> quarter).</w:t>
      </w:r>
      <w:r w:rsidR="005630EA" w:rsidRPr="00CC6D8E">
        <w:rPr>
          <w:rFonts w:cstheme="minorHAnsi"/>
          <w:sz w:val="24"/>
          <w:szCs w:val="24"/>
        </w:rPr>
        <w:t xml:space="preserve"> </w:t>
      </w:r>
      <w:r w:rsidR="00C10E25" w:rsidRPr="00CC6D8E">
        <w:rPr>
          <w:rFonts w:cstheme="minorHAnsi"/>
          <w:sz w:val="24"/>
          <w:szCs w:val="24"/>
        </w:rPr>
        <w:t>M</w:t>
      </w:r>
      <w:r w:rsidR="004F46A1" w:rsidRPr="00CC6D8E">
        <w:rPr>
          <w:rFonts w:cstheme="minorHAnsi"/>
          <w:sz w:val="24"/>
          <w:szCs w:val="24"/>
        </w:rPr>
        <w:t xml:space="preserve">ost foreign markets generally tracked the S&amp;P 500 during the fourth quarter, </w:t>
      </w:r>
      <w:r w:rsidR="00F72E7D" w:rsidRPr="00CC6D8E">
        <w:rPr>
          <w:rFonts w:cstheme="minorHAnsi"/>
          <w:sz w:val="24"/>
          <w:szCs w:val="24"/>
        </w:rPr>
        <w:t xml:space="preserve">but badly underperformed </w:t>
      </w:r>
      <w:r w:rsidR="0027782D" w:rsidRPr="00CC6D8E">
        <w:rPr>
          <w:rFonts w:cstheme="minorHAnsi"/>
          <w:sz w:val="24"/>
          <w:szCs w:val="24"/>
        </w:rPr>
        <w:t>on a</w:t>
      </w:r>
      <w:r w:rsidR="00873B5F" w:rsidRPr="00CC6D8E">
        <w:rPr>
          <w:rFonts w:cstheme="minorHAnsi"/>
          <w:sz w:val="24"/>
          <w:szCs w:val="24"/>
        </w:rPr>
        <w:t xml:space="preserve">n annual </w:t>
      </w:r>
      <w:r w:rsidR="0027782D" w:rsidRPr="00CC6D8E">
        <w:rPr>
          <w:rFonts w:cstheme="minorHAnsi"/>
          <w:sz w:val="24"/>
          <w:szCs w:val="24"/>
        </w:rPr>
        <w:t>basis</w:t>
      </w:r>
      <w:r w:rsidR="00F72E7D" w:rsidRPr="00CC6D8E">
        <w:rPr>
          <w:rFonts w:cstheme="minorHAnsi"/>
          <w:sz w:val="24"/>
          <w:szCs w:val="24"/>
        </w:rPr>
        <w:t xml:space="preserve">.  </w:t>
      </w:r>
    </w:p>
    <w:p w14:paraId="036E3024" w14:textId="35399358" w:rsidR="00F72E7D" w:rsidRPr="00CC6D8E" w:rsidRDefault="00F72E7D" w:rsidP="00C27CA6">
      <w:pPr>
        <w:spacing w:after="0" w:line="240" w:lineRule="auto"/>
        <w:rPr>
          <w:rFonts w:cstheme="minorHAnsi"/>
          <w:sz w:val="24"/>
          <w:szCs w:val="24"/>
        </w:rPr>
      </w:pPr>
    </w:p>
    <w:p w14:paraId="7CD66EA2" w14:textId="0AE15C7D" w:rsidR="00F72E7D" w:rsidRPr="00CC6D8E" w:rsidRDefault="00873B5F" w:rsidP="00C27CA6">
      <w:pPr>
        <w:spacing w:after="0" w:line="240" w:lineRule="auto"/>
        <w:rPr>
          <w:rFonts w:cstheme="minorHAnsi"/>
          <w:sz w:val="24"/>
          <w:szCs w:val="24"/>
        </w:rPr>
      </w:pPr>
      <w:r w:rsidRPr="00CC6D8E">
        <w:rPr>
          <w:rFonts w:cstheme="minorHAnsi"/>
          <w:sz w:val="24"/>
          <w:szCs w:val="24"/>
        </w:rPr>
        <w:t>More specifically, f</w:t>
      </w:r>
      <w:r w:rsidR="00C10E25" w:rsidRPr="00CC6D8E">
        <w:rPr>
          <w:rFonts w:cstheme="minorHAnsi"/>
          <w:sz w:val="24"/>
          <w:szCs w:val="24"/>
        </w:rPr>
        <w:t>oreign</w:t>
      </w:r>
      <w:r w:rsidR="00F72E7D" w:rsidRPr="00CC6D8E">
        <w:rPr>
          <w:rFonts w:cstheme="minorHAnsi"/>
          <w:sz w:val="24"/>
          <w:szCs w:val="24"/>
        </w:rPr>
        <w:t xml:space="preserve"> developed markets saw similar declines to the S&amp;P 500 during the fourth quarter, but finished 2018 with substantial losses given </w:t>
      </w:r>
      <w:r w:rsidR="00E839E1" w:rsidRPr="00CC6D8E">
        <w:rPr>
          <w:rFonts w:cstheme="minorHAnsi"/>
          <w:sz w:val="24"/>
          <w:szCs w:val="24"/>
        </w:rPr>
        <w:t xml:space="preserve">the </w:t>
      </w:r>
      <w:r w:rsidR="002D2397" w:rsidRPr="00CC6D8E">
        <w:rPr>
          <w:rFonts w:cstheme="minorHAnsi"/>
          <w:sz w:val="24"/>
          <w:szCs w:val="24"/>
        </w:rPr>
        <w:t>economic</w:t>
      </w:r>
      <w:r w:rsidR="00F72E7D" w:rsidRPr="00CC6D8E">
        <w:rPr>
          <w:rFonts w:cstheme="minorHAnsi"/>
          <w:sz w:val="24"/>
          <w:szCs w:val="24"/>
        </w:rPr>
        <w:t xml:space="preserve"> and market headwinds.  </w:t>
      </w:r>
    </w:p>
    <w:p w14:paraId="14A110E6" w14:textId="0211FA6F" w:rsidR="00F72E7D" w:rsidRPr="00CC6D8E" w:rsidRDefault="00F72E7D" w:rsidP="00C27CA6">
      <w:pPr>
        <w:spacing w:after="0" w:line="240" w:lineRule="auto"/>
        <w:rPr>
          <w:rFonts w:cstheme="minorHAnsi"/>
          <w:sz w:val="24"/>
          <w:szCs w:val="24"/>
        </w:rPr>
      </w:pPr>
    </w:p>
    <w:p w14:paraId="06C1349E" w14:textId="02A5ED9F" w:rsidR="00F72E7D" w:rsidRPr="00CC6D8E" w:rsidRDefault="00873B5F" w:rsidP="00C27CA6">
      <w:pPr>
        <w:spacing w:after="0" w:line="240" w:lineRule="auto"/>
        <w:rPr>
          <w:rFonts w:cstheme="minorHAnsi"/>
          <w:sz w:val="24"/>
          <w:szCs w:val="24"/>
        </w:rPr>
      </w:pPr>
      <w:r w:rsidRPr="00CC6D8E">
        <w:rPr>
          <w:rFonts w:cstheme="minorHAnsi"/>
          <w:sz w:val="24"/>
          <w:szCs w:val="24"/>
        </w:rPr>
        <w:t>Meanwhile, e</w:t>
      </w:r>
      <w:r w:rsidR="00F72E7D" w:rsidRPr="00CC6D8E">
        <w:rPr>
          <w:rFonts w:cstheme="minorHAnsi"/>
          <w:sz w:val="24"/>
          <w:szCs w:val="24"/>
        </w:rPr>
        <w:t>merging markets badly underperformed U.S. stocks through the first three quarters of 2018, but relatively outperformed in the fourth quarter. Some political and trade</w:t>
      </w:r>
      <w:r w:rsidR="005630EA" w:rsidRPr="00CC6D8E">
        <w:rPr>
          <w:rFonts w:cstheme="minorHAnsi"/>
          <w:sz w:val="24"/>
          <w:szCs w:val="24"/>
        </w:rPr>
        <w:t>-</w:t>
      </w:r>
      <w:r w:rsidR="00F72E7D" w:rsidRPr="00CC6D8E">
        <w:rPr>
          <w:rFonts w:cstheme="minorHAnsi"/>
          <w:sz w:val="24"/>
          <w:szCs w:val="24"/>
        </w:rPr>
        <w:t xml:space="preserve">related clarity via the </w:t>
      </w:r>
      <w:r w:rsidR="00254105" w:rsidRPr="00CC6D8E">
        <w:rPr>
          <w:rFonts w:cstheme="minorHAnsi"/>
          <w:sz w:val="24"/>
          <w:szCs w:val="24"/>
        </w:rPr>
        <w:t>calming of</w:t>
      </w:r>
      <w:r w:rsidR="00F72E7D" w:rsidRPr="00CC6D8E">
        <w:rPr>
          <w:rFonts w:cstheme="minorHAnsi"/>
          <w:sz w:val="24"/>
          <w:szCs w:val="24"/>
        </w:rPr>
        <w:t xml:space="preserve"> the Turkish currency crisis and the temporary U.S.</w:t>
      </w:r>
      <w:r w:rsidR="005630EA" w:rsidRPr="00CC6D8E">
        <w:rPr>
          <w:rFonts w:cstheme="minorHAnsi"/>
          <w:sz w:val="24"/>
          <w:szCs w:val="24"/>
        </w:rPr>
        <w:t>-</w:t>
      </w:r>
      <w:r w:rsidR="00F72E7D" w:rsidRPr="00CC6D8E">
        <w:rPr>
          <w:rFonts w:cstheme="minorHAnsi"/>
          <w:sz w:val="24"/>
          <w:szCs w:val="24"/>
        </w:rPr>
        <w:t>China trade truce helped contain emerging market declines in this most</w:t>
      </w:r>
      <w:r w:rsidR="005630EA" w:rsidRPr="00CC6D8E">
        <w:rPr>
          <w:rFonts w:cstheme="minorHAnsi"/>
          <w:sz w:val="24"/>
          <w:szCs w:val="24"/>
        </w:rPr>
        <w:t>-</w:t>
      </w:r>
      <w:r w:rsidR="00F72E7D" w:rsidRPr="00CC6D8E">
        <w:rPr>
          <w:rFonts w:cstheme="minorHAnsi"/>
          <w:sz w:val="24"/>
          <w:szCs w:val="24"/>
        </w:rPr>
        <w:t xml:space="preserve">recent quarter.  </w:t>
      </w:r>
    </w:p>
    <w:p w14:paraId="593D514E" w14:textId="77777777" w:rsidR="00A770C6" w:rsidRPr="00CC6D8E" w:rsidRDefault="00A770C6" w:rsidP="00C27CA6">
      <w:pPr>
        <w:spacing w:after="0" w:line="240" w:lineRule="auto"/>
        <w:rPr>
          <w:rFonts w:cstheme="minorHAnsi"/>
          <w:sz w:val="24"/>
          <w:szCs w:val="24"/>
        </w:rPr>
      </w:pPr>
    </w:p>
    <w:p w14:paraId="4964BAAA" w14:textId="77777777" w:rsidR="00C27CA6" w:rsidRPr="00CC6D8E" w:rsidRDefault="00C27CA6" w:rsidP="00C27CA6">
      <w:pPr>
        <w:spacing w:after="0" w:line="240" w:lineRule="auto"/>
        <w:rPr>
          <w:sz w:val="24"/>
          <w:szCs w:val="24"/>
        </w:rPr>
      </w:pPr>
    </w:p>
    <w:tbl>
      <w:tblPr>
        <w:tblW w:w="7240" w:type="dxa"/>
        <w:jc w:val="center"/>
        <w:tblCellMar>
          <w:top w:w="15" w:type="dxa"/>
          <w:bottom w:w="15" w:type="dxa"/>
        </w:tblCellMar>
        <w:tblLook w:val="04A0" w:firstRow="1" w:lastRow="0" w:firstColumn="1" w:lastColumn="0" w:noHBand="0" w:noVBand="1"/>
      </w:tblPr>
      <w:tblGrid>
        <w:gridCol w:w="4240"/>
        <w:gridCol w:w="1500"/>
        <w:gridCol w:w="1500"/>
      </w:tblGrid>
      <w:tr w:rsidR="0055613A" w:rsidRPr="00CC6D8E" w14:paraId="0943DF2B" w14:textId="77777777" w:rsidTr="00CC6D8E">
        <w:trPr>
          <w:trHeight w:val="360"/>
          <w:jc w:val="center"/>
        </w:trPr>
        <w:tc>
          <w:tcPr>
            <w:tcW w:w="42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859DF87" w14:textId="77777777" w:rsidR="00C27CA6" w:rsidRPr="00CC6D8E" w:rsidRDefault="00C27CA6" w:rsidP="0019772F">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International Equity Indexes</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E11ABA" w14:textId="6B3B4B4C" w:rsidR="00C27CA6" w:rsidRPr="00CC6D8E" w:rsidRDefault="00C27CA6" w:rsidP="0019772F">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Q4</w:t>
            </w:r>
            <w:r w:rsidR="00693A3F" w:rsidRPr="00CC6D8E">
              <w:rPr>
                <w:rFonts w:ascii="Calibri" w:eastAsia="Times New Roman" w:hAnsi="Calibri" w:cs="Calibri"/>
                <w:b/>
                <w:bCs/>
                <w:sz w:val="24"/>
                <w:szCs w:val="24"/>
              </w:rPr>
              <w:t xml:space="preserve"> Return </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8CB45DC" w14:textId="63298B5A" w:rsidR="00C27CA6" w:rsidRPr="00CC6D8E" w:rsidRDefault="00C27CA6" w:rsidP="0019772F">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201</w:t>
            </w:r>
            <w:r w:rsidR="006B042B" w:rsidRPr="00CC6D8E">
              <w:rPr>
                <w:rFonts w:ascii="Calibri" w:eastAsia="Times New Roman" w:hAnsi="Calibri" w:cs="Calibri"/>
                <w:b/>
                <w:bCs/>
                <w:sz w:val="24"/>
                <w:szCs w:val="24"/>
              </w:rPr>
              <w:t>8</w:t>
            </w:r>
            <w:r w:rsidR="00693A3F" w:rsidRPr="00CC6D8E">
              <w:rPr>
                <w:rFonts w:ascii="Calibri" w:eastAsia="Times New Roman" w:hAnsi="Calibri" w:cs="Calibri"/>
                <w:b/>
                <w:bCs/>
                <w:sz w:val="24"/>
                <w:szCs w:val="24"/>
              </w:rPr>
              <w:t xml:space="preserve"> Return </w:t>
            </w:r>
          </w:p>
        </w:tc>
      </w:tr>
      <w:tr w:rsidR="0055613A" w:rsidRPr="00CC6D8E" w14:paraId="44B4832F" w14:textId="77777777" w:rsidTr="0019772F">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hideMark/>
          </w:tcPr>
          <w:p w14:paraId="0BD52AB9" w14:textId="77777777" w:rsidR="00C27CA6" w:rsidRPr="00CC6D8E" w:rsidRDefault="00C27CA6" w:rsidP="0019772F">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MSCI EAFE NR USD (Foreign Developed)</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BD4B43B" w14:textId="486AEE28" w:rsidR="00C27CA6" w:rsidRPr="00CC6D8E" w:rsidRDefault="002675DC"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-12.54%</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A12F7AC" w14:textId="40DABEC7" w:rsidR="00C27CA6" w:rsidRPr="00CC6D8E" w:rsidRDefault="002675DC"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-13.79%</w:t>
            </w:r>
          </w:p>
        </w:tc>
      </w:tr>
      <w:tr w:rsidR="0055613A" w:rsidRPr="00CC6D8E" w14:paraId="6DBD22F7" w14:textId="77777777" w:rsidTr="0019772F">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hideMark/>
          </w:tcPr>
          <w:p w14:paraId="5C198C19" w14:textId="77777777" w:rsidR="00C27CA6" w:rsidRPr="00CC6D8E" w:rsidRDefault="00C27CA6" w:rsidP="0019772F">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MSCI EM NR USD (Emerging Markets)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B2075BE" w14:textId="279FE176" w:rsidR="00C27CA6" w:rsidRPr="00CC6D8E" w:rsidRDefault="002675DC"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-7.47%</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751F1FD" w14:textId="2ACB59CC" w:rsidR="00C27CA6" w:rsidRPr="00CC6D8E" w:rsidRDefault="002675DC"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-14.58%</w:t>
            </w:r>
          </w:p>
        </w:tc>
      </w:tr>
      <w:tr w:rsidR="0055613A" w:rsidRPr="00CC6D8E" w14:paraId="77C4DEE1" w14:textId="77777777" w:rsidTr="0019772F">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hideMark/>
          </w:tcPr>
          <w:p w14:paraId="0BF35672" w14:textId="77777777" w:rsidR="00C27CA6" w:rsidRPr="00CC6D8E" w:rsidRDefault="00C27CA6" w:rsidP="0019772F">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MSCI ACWI Ex USA NR USD (Foreign Dev &amp; EM)</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147F882" w14:textId="7972A8BD" w:rsidR="00C27CA6" w:rsidRPr="00CC6D8E" w:rsidRDefault="002675DC"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-11.46%</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1154355" w14:textId="7302BA87" w:rsidR="00C27CA6" w:rsidRPr="00CC6D8E" w:rsidRDefault="002675DC" w:rsidP="0019772F">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-14.20%</w:t>
            </w:r>
          </w:p>
        </w:tc>
      </w:tr>
    </w:tbl>
    <w:p w14:paraId="56A7571F" w14:textId="77777777" w:rsidR="00C27CA6" w:rsidRPr="00CC6D8E" w:rsidRDefault="00C27CA6" w:rsidP="00C27CA6">
      <w:pPr>
        <w:spacing w:after="0" w:line="240" w:lineRule="auto"/>
        <w:jc w:val="center"/>
        <w:rPr>
          <w:i/>
          <w:sz w:val="24"/>
          <w:szCs w:val="24"/>
        </w:rPr>
      </w:pPr>
      <w:r w:rsidRPr="00CC6D8E">
        <w:rPr>
          <w:i/>
          <w:sz w:val="24"/>
          <w:szCs w:val="24"/>
        </w:rPr>
        <w:t>Source: Morningstar</w:t>
      </w:r>
    </w:p>
    <w:p w14:paraId="472169AC" w14:textId="77777777" w:rsidR="007904DE" w:rsidRPr="00CC6D8E" w:rsidRDefault="007904DE" w:rsidP="00FF4813">
      <w:pPr>
        <w:spacing w:after="0" w:line="240" w:lineRule="auto"/>
        <w:rPr>
          <w:sz w:val="24"/>
          <w:szCs w:val="24"/>
        </w:rPr>
      </w:pPr>
    </w:p>
    <w:p w14:paraId="603AC090" w14:textId="0E25D935" w:rsidR="00E40CBB" w:rsidRPr="00CC6D8E" w:rsidRDefault="00C10E25" w:rsidP="00853A59">
      <w:pPr>
        <w:spacing w:after="0" w:line="240" w:lineRule="auto"/>
        <w:rPr>
          <w:sz w:val="24"/>
          <w:szCs w:val="24"/>
        </w:rPr>
      </w:pPr>
      <w:r w:rsidRPr="00CC6D8E">
        <w:rPr>
          <w:sz w:val="24"/>
          <w:szCs w:val="24"/>
        </w:rPr>
        <w:t>Commodities investors also had a tough year in 2018 as</w:t>
      </w:r>
      <w:r w:rsidR="00E40CBB" w:rsidRPr="00CC6D8E">
        <w:rPr>
          <w:sz w:val="24"/>
          <w:szCs w:val="24"/>
        </w:rPr>
        <w:t xml:space="preserve"> </w:t>
      </w:r>
      <w:r w:rsidR="00F72E7D" w:rsidRPr="00CC6D8E">
        <w:rPr>
          <w:sz w:val="24"/>
          <w:szCs w:val="24"/>
        </w:rPr>
        <w:t xml:space="preserve">major commodity </w:t>
      </w:r>
      <w:r w:rsidRPr="00CC6D8E">
        <w:rPr>
          <w:sz w:val="24"/>
          <w:szCs w:val="24"/>
        </w:rPr>
        <w:t xml:space="preserve">indices </w:t>
      </w:r>
      <w:r w:rsidR="00F72E7D" w:rsidRPr="00CC6D8E">
        <w:rPr>
          <w:sz w:val="24"/>
          <w:szCs w:val="24"/>
        </w:rPr>
        <w:t>fell sharply during the fourth quarter and ended the year decidedly negative thanks to the plunge in oil</w:t>
      </w:r>
      <w:r w:rsidR="00830DC1" w:rsidRPr="00CC6D8E">
        <w:rPr>
          <w:sz w:val="24"/>
          <w:szCs w:val="24"/>
        </w:rPr>
        <w:t xml:space="preserve"> in the final three months of the year. </w:t>
      </w:r>
    </w:p>
    <w:p w14:paraId="533FEB8E" w14:textId="563C8957" w:rsidR="00F72E7D" w:rsidRPr="00CC6D8E" w:rsidRDefault="00F72E7D" w:rsidP="00853A59">
      <w:pPr>
        <w:spacing w:after="0" w:line="240" w:lineRule="auto"/>
        <w:rPr>
          <w:sz w:val="24"/>
          <w:szCs w:val="24"/>
        </w:rPr>
      </w:pPr>
    </w:p>
    <w:p w14:paraId="6B6DB7E1" w14:textId="3299A7CE" w:rsidR="00F72E7D" w:rsidRPr="00CC6D8E" w:rsidRDefault="00F72E7D" w:rsidP="00853A59">
      <w:pPr>
        <w:spacing w:after="0" w:line="240" w:lineRule="auto"/>
        <w:rPr>
          <w:sz w:val="24"/>
          <w:szCs w:val="24"/>
        </w:rPr>
      </w:pPr>
      <w:r w:rsidRPr="00CC6D8E">
        <w:rPr>
          <w:sz w:val="24"/>
          <w:szCs w:val="24"/>
        </w:rPr>
        <w:t xml:space="preserve">During the fourth quarter oil </w:t>
      </w:r>
      <w:r w:rsidR="00E839E1" w:rsidRPr="00CC6D8E">
        <w:rPr>
          <w:sz w:val="24"/>
          <w:szCs w:val="24"/>
        </w:rPr>
        <w:t>dropped</w:t>
      </w:r>
      <w:r w:rsidR="008D2627" w:rsidRPr="00CC6D8E">
        <w:rPr>
          <w:sz w:val="24"/>
          <w:szCs w:val="24"/>
        </w:rPr>
        <w:t xml:space="preserve"> to multi-year lows thank</w:t>
      </w:r>
      <w:r w:rsidR="00993745" w:rsidRPr="00CC6D8E">
        <w:rPr>
          <w:sz w:val="24"/>
          <w:szCs w:val="24"/>
        </w:rPr>
        <w:t>s</w:t>
      </w:r>
      <w:r w:rsidR="008D2627" w:rsidRPr="00CC6D8E">
        <w:rPr>
          <w:sz w:val="24"/>
          <w:szCs w:val="24"/>
        </w:rPr>
        <w:t xml:space="preserve"> to supply</w:t>
      </w:r>
      <w:r w:rsidR="007B3650" w:rsidRPr="00CC6D8E">
        <w:rPr>
          <w:sz w:val="24"/>
          <w:szCs w:val="24"/>
        </w:rPr>
        <w:t xml:space="preserve"> and</w:t>
      </w:r>
      <w:r w:rsidR="00830DC1" w:rsidRPr="00CC6D8E">
        <w:rPr>
          <w:sz w:val="24"/>
          <w:szCs w:val="24"/>
        </w:rPr>
        <w:t xml:space="preserve"> </w:t>
      </w:r>
      <w:r w:rsidR="008D2627" w:rsidRPr="00CC6D8E">
        <w:rPr>
          <w:sz w:val="24"/>
          <w:szCs w:val="24"/>
        </w:rPr>
        <w:t xml:space="preserve">demand </w:t>
      </w:r>
      <w:r w:rsidR="00830DC1" w:rsidRPr="00CC6D8E">
        <w:rPr>
          <w:sz w:val="24"/>
          <w:szCs w:val="24"/>
        </w:rPr>
        <w:t>worries</w:t>
      </w:r>
      <w:r w:rsidR="008D2627" w:rsidRPr="00CC6D8E">
        <w:rPr>
          <w:sz w:val="24"/>
          <w:szCs w:val="24"/>
        </w:rPr>
        <w:t>. D</w:t>
      </w:r>
      <w:r w:rsidRPr="00CC6D8E">
        <w:rPr>
          <w:sz w:val="24"/>
          <w:szCs w:val="24"/>
        </w:rPr>
        <w:t>emand</w:t>
      </w:r>
      <w:r w:rsidR="00C10E25" w:rsidRPr="00CC6D8E">
        <w:rPr>
          <w:sz w:val="24"/>
          <w:szCs w:val="24"/>
        </w:rPr>
        <w:t>-related</w:t>
      </w:r>
      <w:r w:rsidRPr="00CC6D8E">
        <w:rPr>
          <w:sz w:val="24"/>
          <w:szCs w:val="24"/>
        </w:rPr>
        <w:t xml:space="preserve"> concerns </w:t>
      </w:r>
      <w:r w:rsidR="00C10E25" w:rsidRPr="00CC6D8E">
        <w:rPr>
          <w:sz w:val="24"/>
          <w:szCs w:val="24"/>
        </w:rPr>
        <w:t>emanat</w:t>
      </w:r>
      <w:r w:rsidR="008D2627" w:rsidRPr="00CC6D8E">
        <w:rPr>
          <w:sz w:val="24"/>
          <w:szCs w:val="24"/>
        </w:rPr>
        <w:t>ed</w:t>
      </w:r>
      <w:r w:rsidR="00C10E25" w:rsidRPr="00CC6D8E">
        <w:rPr>
          <w:sz w:val="24"/>
          <w:szCs w:val="24"/>
        </w:rPr>
        <w:t xml:space="preserve"> from</w:t>
      </w:r>
      <w:r w:rsidRPr="00CC6D8E">
        <w:rPr>
          <w:sz w:val="24"/>
          <w:szCs w:val="24"/>
        </w:rPr>
        <w:t xml:space="preserve"> potentially slowing global</w:t>
      </w:r>
      <w:r w:rsidR="00C10E25" w:rsidRPr="00CC6D8E">
        <w:rPr>
          <w:sz w:val="24"/>
          <w:szCs w:val="24"/>
        </w:rPr>
        <w:t xml:space="preserve"> economic</w:t>
      </w:r>
      <w:r w:rsidRPr="00CC6D8E">
        <w:rPr>
          <w:sz w:val="24"/>
          <w:szCs w:val="24"/>
        </w:rPr>
        <w:t xml:space="preserve"> growth, </w:t>
      </w:r>
      <w:r w:rsidR="008D2627" w:rsidRPr="00CC6D8E">
        <w:rPr>
          <w:sz w:val="24"/>
          <w:szCs w:val="24"/>
        </w:rPr>
        <w:t>while on the supply side</w:t>
      </w:r>
      <w:r w:rsidR="00873B5F" w:rsidRPr="00CC6D8E">
        <w:rPr>
          <w:sz w:val="24"/>
          <w:szCs w:val="24"/>
        </w:rPr>
        <w:t>,</w:t>
      </w:r>
      <w:r w:rsidR="005630EA" w:rsidRPr="00CC6D8E">
        <w:rPr>
          <w:sz w:val="24"/>
          <w:szCs w:val="24"/>
        </w:rPr>
        <w:t xml:space="preserve"> </w:t>
      </w:r>
      <w:r w:rsidR="008D2627" w:rsidRPr="00CC6D8E">
        <w:rPr>
          <w:sz w:val="24"/>
          <w:szCs w:val="24"/>
        </w:rPr>
        <w:t>OPEC oil production cuts were smaller than expected</w:t>
      </w:r>
      <w:r w:rsidR="00830DC1" w:rsidRPr="00CC6D8E">
        <w:rPr>
          <w:sz w:val="24"/>
          <w:szCs w:val="24"/>
        </w:rPr>
        <w:t xml:space="preserve">. </w:t>
      </w:r>
    </w:p>
    <w:p w14:paraId="218FCB85" w14:textId="247F76E6" w:rsidR="00F72E7D" w:rsidRPr="00CC6D8E" w:rsidRDefault="00F72E7D" w:rsidP="00853A59">
      <w:pPr>
        <w:spacing w:after="0" w:line="240" w:lineRule="auto"/>
        <w:rPr>
          <w:sz w:val="24"/>
          <w:szCs w:val="24"/>
        </w:rPr>
      </w:pPr>
    </w:p>
    <w:p w14:paraId="49011744" w14:textId="7B83A2A9" w:rsidR="00F72E7D" w:rsidRPr="00CC6D8E" w:rsidRDefault="00F72E7D" w:rsidP="00853A59">
      <w:pPr>
        <w:spacing w:after="0" w:line="240" w:lineRule="auto"/>
        <w:rPr>
          <w:sz w:val="24"/>
          <w:szCs w:val="24"/>
        </w:rPr>
      </w:pPr>
      <w:r w:rsidRPr="00CC6D8E">
        <w:rPr>
          <w:sz w:val="24"/>
          <w:szCs w:val="24"/>
        </w:rPr>
        <w:t xml:space="preserve">Gold </w:t>
      </w:r>
      <w:r w:rsidR="00873B5F" w:rsidRPr="00CC6D8E">
        <w:rPr>
          <w:sz w:val="24"/>
          <w:szCs w:val="24"/>
        </w:rPr>
        <w:t>notably</w:t>
      </w:r>
      <w:r w:rsidR="008D2627" w:rsidRPr="00CC6D8E">
        <w:rPr>
          <w:sz w:val="24"/>
          <w:szCs w:val="24"/>
        </w:rPr>
        <w:t xml:space="preserve"> bucked the negative trend in commodities during the fourth quarter. Gold</w:t>
      </w:r>
      <w:r w:rsidR="00873B5F" w:rsidRPr="00CC6D8E">
        <w:rPr>
          <w:sz w:val="24"/>
          <w:szCs w:val="24"/>
        </w:rPr>
        <w:t xml:space="preserve"> was one of the best performing assets across markets posting</w:t>
      </w:r>
      <w:r w:rsidRPr="00CC6D8E">
        <w:rPr>
          <w:sz w:val="24"/>
          <w:szCs w:val="24"/>
        </w:rPr>
        <w:t xml:space="preserve"> </w:t>
      </w:r>
      <w:r w:rsidR="00873B5F" w:rsidRPr="00CC6D8E">
        <w:rPr>
          <w:sz w:val="24"/>
          <w:szCs w:val="24"/>
        </w:rPr>
        <w:t xml:space="preserve">a </w:t>
      </w:r>
      <w:r w:rsidRPr="00CC6D8E">
        <w:rPr>
          <w:sz w:val="24"/>
          <w:szCs w:val="24"/>
        </w:rPr>
        <w:t>positive</w:t>
      </w:r>
      <w:r w:rsidR="008D2627" w:rsidRPr="00CC6D8E">
        <w:rPr>
          <w:sz w:val="24"/>
          <w:szCs w:val="24"/>
        </w:rPr>
        <w:t xml:space="preserve"> return</w:t>
      </w:r>
      <w:r w:rsidRPr="00CC6D8E">
        <w:rPr>
          <w:sz w:val="24"/>
          <w:szCs w:val="24"/>
        </w:rPr>
        <w:t xml:space="preserve"> in </w:t>
      </w:r>
      <w:r w:rsidR="00873B5F" w:rsidRPr="00CC6D8E">
        <w:rPr>
          <w:sz w:val="24"/>
          <w:szCs w:val="24"/>
        </w:rPr>
        <w:t xml:space="preserve">Q4 </w:t>
      </w:r>
      <w:r w:rsidRPr="00CC6D8E">
        <w:rPr>
          <w:sz w:val="24"/>
          <w:szCs w:val="24"/>
        </w:rPr>
        <w:t>thanks to macroeconomic uncertainty and a weaker dollar. For full</w:t>
      </w:r>
      <w:r w:rsidR="005630EA" w:rsidRPr="00CC6D8E">
        <w:rPr>
          <w:sz w:val="24"/>
          <w:szCs w:val="24"/>
        </w:rPr>
        <w:t>-</w:t>
      </w:r>
      <w:r w:rsidRPr="00CC6D8E">
        <w:rPr>
          <w:sz w:val="24"/>
          <w:szCs w:val="24"/>
        </w:rPr>
        <w:t xml:space="preserve">year 2018, gold </w:t>
      </w:r>
      <w:r w:rsidR="00747C8A" w:rsidRPr="00CC6D8E">
        <w:rPr>
          <w:sz w:val="24"/>
          <w:szCs w:val="24"/>
        </w:rPr>
        <w:t xml:space="preserve">still had a negative return due to weakness through the first three quarters of 2018.  </w:t>
      </w:r>
    </w:p>
    <w:p w14:paraId="1260790C" w14:textId="1A107330" w:rsidR="00A559CE" w:rsidRPr="00CC6D8E" w:rsidRDefault="00A559CE" w:rsidP="00853A59">
      <w:pPr>
        <w:spacing w:after="0" w:line="240" w:lineRule="auto"/>
        <w:rPr>
          <w:sz w:val="24"/>
          <w:szCs w:val="24"/>
        </w:rPr>
      </w:pPr>
    </w:p>
    <w:p w14:paraId="6EC158E2" w14:textId="77777777" w:rsidR="00E40CBB" w:rsidRPr="00CC6D8E" w:rsidRDefault="00E40CBB" w:rsidP="00E40CBB">
      <w:pPr>
        <w:spacing w:after="0" w:line="240" w:lineRule="auto"/>
        <w:rPr>
          <w:rFonts w:cstheme="minorHAnsi"/>
          <w:i/>
          <w:sz w:val="24"/>
          <w:szCs w:val="24"/>
        </w:rPr>
      </w:pPr>
    </w:p>
    <w:tbl>
      <w:tblPr>
        <w:tblW w:w="7240" w:type="dxa"/>
        <w:jc w:val="center"/>
        <w:tblCellMar>
          <w:top w:w="15" w:type="dxa"/>
          <w:bottom w:w="15" w:type="dxa"/>
        </w:tblCellMar>
        <w:tblLook w:val="04A0" w:firstRow="1" w:lastRow="0" w:firstColumn="1" w:lastColumn="0" w:noHBand="0" w:noVBand="1"/>
      </w:tblPr>
      <w:tblGrid>
        <w:gridCol w:w="4240"/>
        <w:gridCol w:w="1500"/>
        <w:gridCol w:w="1500"/>
      </w:tblGrid>
      <w:tr w:rsidR="0055613A" w:rsidRPr="00CC6D8E" w14:paraId="31993CD2" w14:textId="77777777" w:rsidTr="00CC6D8E">
        <w:trPr>
          <w:trHeight w:val="360"/>
          <w:jc w:val="center"/>
        </w:trPr>
        <w:tc>
          <w:tcPr>
            <w:tcW w:w="42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E2E744E" w14:textId="77777777" w:rsidR="006B042B" w:rsidRPr="00CC6D8E" w:rsidRDefault="006B042B" w:rsidP="000F2138">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Commodity Indexes</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7309467" w14:textId="5AECB5AC" w:rsidR="006B042B" w:rsidRPr="00CC6D8E" w:rsidRDefault="006B042B" w:rsidP="000F2138">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 xml:space="preserve">Q4 Return </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DB9F283" w14:textId="58E85886" w:rsidR="006B042B" w:rsidRPr="00CC6D8E" w:rsidRDefault="006B042B" w:rsidP="000F2138">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2018 Return</w:t>
            </w:r>
          </w:p>
        </w:tc>
      </w:tr>
      <w:tr w:rsidR="0055613A" w:rsidRPr="00CC6D8E" w14:paraId="02976583" w14:textId="77777777" w:rsidTr="000F2138">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tcPr>
          <w:p w14:paraId="5EBF04BA" w14:textId="77777777" w:rsidR="006B042B" w:rsidRPr="00CC6D8E" w:rsidRDefault="006B042B" w:rsidP="000F2138">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S&amp;P GSCI (Broad-Based Commodities)</w:t>
            </w:r>
          </w:p>
        </w:tc>
        <w:tc>
          <w:tcPr>
            <w:tcW w:w="1500" w:type="dxa"/>
            <w:tcBorders>
              <w:top w:val="single" w:sz="4" w:space="0" w:color="auto"/>
              <w:left w:val="single" w:sz="4" w:space="0" w:color="auto"/>
              <w:bottom w:val="single" w:sz="4" w:space="0" w:color="auto"/>
              <w:right w:val="single" w:sz="4" w:space="0" w:color="auto"/>
            </w:tcBorders>
            <w:vAlign w:val="center"/>
          </w:tcPr>
          <w:p w14:paraId="61253580" w14:textId="5CA4E436" w:rsidR="006B042B" w:rsidRPr="00CC6D8E" w:rsidRDefault="003A4C36" w:rsidP="000F2138">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-22.94%</w:t>
            </w:r>
          </w:p>
        </w:tc>
        <w:tc>
          <w:tcPr>
            <w:tcW w:w="1500" w:type="dxa"/>
            <w:tcBorders>
              <w:top w:val="single" w:sz="4" w:space="0" w:color="auto"/>
              <w:left w:val="single" w:sz="4" w:space="0" w:color="auto"/>
              <w:bottom w:val="single" w:sz="4" w:space="0" w:color="auto"/>
              <w:right w:val="single" w:sz="4" w:space="0" w:color="auto"/>
            </w:tcBorders>
            <w:vAlign w:val="center"/>
          </w:tcPr>
          <w:p w14:paraId="6B8258D9" w14:textId="4EEE966C" w:rsidR="006B042B" w:rsidRPr="00CC6D8E" w:rsidRDefault="003A4C36" w:rsidP="000F2138">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-13.82%</w:t>
            </w:r>
          </w:p>
        </w:tc>
      </w:tr>
      <w:tr w:rsidR="0055613A" w:rsidRPr="00CC6D8E" w14:paraId="146644AC" w14:textId="77777777" w:rsidTr="000F2138">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tcPr>
          <w:p w14:paraId="051DFCA1" w14:textId="77777777" w:rsidR="006B042B" w:rsidRPr="00CC6D8E" w:rsidRDefault="006B042B" w:rsidP="000F2138">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S&amp;P GSCI Crude Oil</w:t>
            </w:r>
          </w:p>
        </w:tc>
        <w:tc>
          <w:tcPr>
            <w:tcW w:w="1500" w:type="dxa"/>
            <w:tcBorders>
              <w:top w:val="single" w:sz="4" w:space="0" w:color="auto"/>
              <w:left w:val="single" w:sz="4" w:space="0" w:color="auto"/>
              <w:bottom w:val="single" w:sz="4" w:space="0" w:color="auto"/>
              <w:right w:val="single" w:sz="4" w:space="0" w:color="auto"/>
            </w:tcBorders>
            <w:vAlign w:val="center"/>
          </w:tcPr>
          <w:p w14:paraId="6A715C25" w14:textId="78A4BD97" w:rsidR="006B042B" w:rsidRPr="00CC6D8E" w:rsidRDefault="003A4C36" w:rsidP="000F2138">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-37.94%</w:t>
            </w:r>
          </w:p>
        </w:tc>
        <w:tc>
          <w:tcPr>
            <w:tcW w:w="1500" w:type="dxa"/>
            <w:tcBorders>
              <w:top w:val="single" w:sz="4" w:space="0" w:color="auto"/>
              <w:left w:val="single" w:sz="4" w:space="0" w:color="auto"/>
              <w:bottom w:val="single" w:sz="4" w:space="0" w:color="auto"/>
              <w:right w:val="single" w:sz="4" w:space="0" w:color="auto"/>
            </w:tcBorders>
            <w:vAlign w:val="center"/>
          </w:tcPr>
          <w:p w14:paraId="19E8D5FF" w14:textId="5A7FB361" w:rsidR="006B042B" w:rsidRPr="00CC6D8E" w:rsidRDefault="003A4C36" w:rsidP="000F2138">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-20.49%</w:t>
            </w:r>
          </w:p>
        </w:tc>
      </w:tr>
      <w:tr w:rsidR="0055613A" w:rsidRPr="00CC6D8E" w14:paraId="6027F2CA" w14:textId="77777777" w:rsidTr="000F2138">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tcPr>
          <w:p w14:paraId="32653455" w14:textId="77777777" w:rsidR="006B042B" w:rsidRPr="00CC6D8E" w:rsidRDefault="006B042B" w:rsidP="000F2138">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LBMA Gold Price</w:t>
            </w:r>
          </w:p>
        </w:tc>
        <w:tc>
          <w:tcPr>
            <w:tcW w:w="1500" w:type="dxa"/>
            <w:tcBorders>
              <w:top w:val="single" w:sz="4" w:space="0" w:color="auto"/>
              <w:left w:val="single" w:sz="4" w:space="0" w:color="auto"/>
              <w:bottom w:val="single" w:sz="4" w:space="0" w:color="auto"/>
              <w:right w:val="single" w:sz="4" w:space="0" w:color="auto"/>
            </w:tcBorders>
            <w:vAlign w:val="center"/>
          </w:tcPr>
          <w:p w14:paraId="6F955D0B" w14:textId="46A2D511" w:rsidR="006B042B" w:rsidRPr="00CC6D8E" w:rsidRDefault="003A4C36" w:rsidP="000F2138">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7.73%</w:t>
            </w:r>
          </w:p>
        </w:tc>
        <w:tc>
          <w:tcPr>
            <w:tcW w:w="1500" w:type="dxa"/>
            <w:tcBorders>
              <w:top w:val="single" w:sz="4" w:space="0" w:color="auto"/>
              <w:left w:val="single" w:sz="4" w:space="0" w:color="auto"/>
              <w:bottom w:val="single" w:sz="4" w:space="0" w:color="auto"/>
              <w:right w:val="single" w:sz="4" w:space="0" w:color="auto"/>
            </w:tcBorders>
            <w:vAlign w:val="center"/>
          </w:tcPr>
          <w:p w14:paraId="501F69BA" w14:textId="57DA7686" w:rsidR="006B042B" w:rsidRPr="00CC6D8E" w:rsidRDefault="003A4C36" w:rsidP="000F2138">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-0.93%</w:t>
            </w:r>
          </w:p>
        </w:tc>
      </w:tr>
    </w:tbl>
    <w:p w14:paraId="6614A635" w14:textId="77777777" w:rsidR="00E40CBB" w:rsidRPr="00CC6D8E" w:rsidRDefault="00E40CBB" w:rsidP="00E40CBB">
      <w:pPr>
        <w:spacing w:after="0" w:line="240" w:lineRule="auto"/>
        <w:jc w:val="center"/>
        <w:rPr>
          <w:rFonts w:cstheme="minorHAnsi"/>
          <w:i/>
          <w:sz w:val="24"/>
          <w:szCs w:val="24"/>
        </w:rPr>
      </w:pPr>
      <w:r w:rsidRPr="00CC6D8E">
        <w:rPr>
          <w:rFonts w:cstheme="minorHAnsi"/>
          <w:i/>
          <w:sz w:val="24"/>
          <w:szCs w:val="24"/>
        </w:rPr>
        <w:t>Source: Morningstar</w:t>
      </w:r>
    </w:p>
    <w:p w14:paraId="4B730ECF" w14:textId="77777777" w:rsidR="00E40CBB" w:rsidRPr="00CC6D8E" w:rsidRDefault="00E40CBB" w:rsidP="00853A59">
      <w:pPr>
        <w:spacing w:after="0" w:line="240" w:lineRule="auto"/>
        <w:rPr>
          <w:sz w:val="24"/>
          <w:szCs w:val="24"/>
        </w:rPr>
      </w:pPr>
    </w:p>
    <w:p w14:paraId="63122BC3" w14:textId="040C384F" w:rsidR="00581DB4" w:rsidRPr="00CC6D8E" w:rsidRDefault="007706FD" w:rsidP="002528FF">
      <w:pPr>
        <w:spacing w:after="0" w:line="240" w:lineRule="auto"/>
        <w:rPr>
          <w:sz w:val="24"/>
          <w:szCs w:val="24"/>
        </w:rPr>
      </w:pPr>
      <w:r w:rsidRPr="00CC6D8E">
        <w:rPr>
          <w:sz w:val="24"/>
          <w:szCs w:val="24"/>
        </w:rPr>
        <w:t>Switch</w:t>
      </w:r>
      <w:r w:rsidR="00D35C5A" w:rsidRPr="00CC6D8E">
        <w:rPr>
          <w:sz w:val="24"/>
          <w:szCs w:val="24"/>
        </w:rPr>
        <w:t>ing to the fixed income markets,</w:t>
      </w:r>
      <w:r w:rsidR="00747C8A" w:rsidRPr="00CC6D8E">
        <w:rPr>
          <w:sz w:val="24"/>
          <w:szCs w:val="24"/>
        </w:rPr>
        <w:t xml:space="preserve"> the leading benchmark for bonds (Bloomberg Barclays US Aggregate Bond Index) </w:t>
      </w:r>
      <w:r w:rsidR="00E839E1" w:rsidRPr="00CC6D8E">
        <w:rPr>
          <w:sz w:val="24"/>
          <w:szCs w:val="24"/>
        </w:rPr>
        <w:t>saw positive returns</w:t>
      </w:r>
      <w:r w:rsidR="00747C8A" w:rsidRPr="00CC6D8E">
        <w:rPr>
          <w:sz w:val="24"/>
          <w:szCs w:val="24"/>
        </w:rPr>
        <w:t xml:space="preserve"> during the fourth quarter</w:t>
      </w:r>
      <w:r w:rsidR="00E83BCB" w:rsidRPr="00CC6D8E">
        <w:rPr>
          <w:sz w:val="24"/>
          <w:szCs w:val="24"/>
        </w:rPr>
        <w:t xml:space="preserve">, </w:t>
      </w:r>
      <w:r w:rsidR="00E02CDF" w:rsidRPr="00CC6D8E">
        <w:rPr>
          <w:sz w:val="24"/>
          <w:szCs w:val="24"/>
        </w:rPr>
        <w:t>and that helped produce a fractionally positive total return</w:t>
      </w:r>
      <w:r w:rsidR="00873B5F" w:rsidRPr="00CC6D8E">
        <w:rPr>
          <w:sz w:val="24"/>
          <w:szCs w:val="24"/>
        </w:rPr>
        <w:t xml:space="preserve"> in 2018</w:t>
      </w:r>
      <w:r w:rsidR="00747C8A" w:rsidRPr="00CC6D8E">
        <w:rPr>
          <w:sz w:val="24"/>
          <w:szCs w:val="24"/>
        </w:rPr>
        <w:t xml:space="preserve">. </w:t>
      </w:r>
      <w:r w:rsidR="008D2627" w:rsidRPr="00CC6D8E">
        <w:rPr>
          <w:sz w:val="24"/>
          <w:szCs w:val="24"/>
        </w:rPr>
        <w:t>Stock market</w:t>
      </w:r>
      <w:r w:rsidR="00747C8A" w:rsidRPr="00CC6D8E">
        <w:rPr>
          <w:sz w:val="24"/>
          <w:szCs w:val="24"/>
        </w:rPr>
        <w:t xml:space="preserve"> volatility</w:t>
      </w:r>
      <w:r w:rsidR="00E83BCB" w:rsidRPr="00CC6D8E">
        <w:rPr>
          <w:sz w:val="24"/>
          <w:szCs w:val="24"/>
        </w:rPr>
        <w:t xml:space="preserve"> </w:t>
      </w:r>
      <w:r w:rsidR="00747C8A" w:rsidRPr="00CC6D8E">
        <w:rPr>
          <w:sz w:val="24"/>
          <w:szCs w:val="24"/>
        </w:rPr>
        <w:t>combined with falling inflation metrics</w:t>
      </w:r>
      <w:r w:rsidR="00E83BCB" w:rsidRPr="00CC6D8E">
        <w:rPr>
          <w:sz w:val="24"/>
          <w:szCs w:val="24"/>
        </w:rPr>
        <w:t xml:space="preserve"> </w:t>
      </w:r>
      <w:r w:rsidR="00747C8A" w:rsidRPr="00CC6D8E">
        <w:rPr>
          <w:sz w:val="24"/>
          <w:szCs w:val="24"/>
        </w:rPr>
        <w:t xml:space="preserve">helped bonds rally during the fourth quarter.  </w:t>
      </w:r>
    </w:p>
    <w:p w14:paraId="36413894" w14:textId="7F244F7E" w:rsidR="00747C8A" w:rsidRPr="00CC6D8E" w:rsidRDefault="00747C8A" w:rsidP="002528FF">
      <w:pPr>
        <w:spacing w:after="0" w:line="240" w:lineRule="auto"/>
        <w:rPr>
          <w:sz w:val="24"/>
          <w:szCs w:val="24"/>
        </w:rPr>
      </w:pPr>
    </w:p>
    <w:p w14:paraId="2F0A8AC9" w14:textId="46E04C9B" w:rsidR="00747C8A" w:rsidRPr="00CC6D8E" w:rsidRDefault="008D2627" w:rsidP="002528FF">
      <w:pPr>
        <w:spacing w:after="0" w:line="240" w:lineRule="auto"/>
        <w:rPr>
          <w:sz w:val="24"/>
          <w:szCs w:val="24"/>
        </w:rPr>
      </w:pPr>
      <w:r w:rsidRPr="00CC6D8E">
        <w:rPr>
          <w:sz w:val="24"/>
          <w:szCs w:val="24"/>
        </w:rPr>
        <w:t>Looking deeper into the fixed income markets,</w:t>
      </w:r>
      <w:r w:rsidR="00747C8A" w:rsidRPr="00CC6D8E">
        <w:rPr>
          <w:sz w:val="24"/>
          <w:szCs w:val="24"/>
        </w:rPr>
        <w:t xml:space="preserve"> longer</w:t>
      </w:r>
      <w:r w:rsidR="00E83BCB" w:rsidRPr="00CC6D8E">
        <w:rPr>
          <w:sz w:val="24"/>
          <w:szCs w:val="24"/>
        </w:rPr>
        <w:t>-</w:t>
      </w:r>
      <w:r w:rsidR="00747C8A" w:rsidRPr="00CC6D8E">
        <w:rPr>
          <w:sz w:val="24"/>
          <w:szCs w:val="24"/>
        </w:rPr>
        <w:t xml:space="preserve">duration bonds outperformed </w:t>
      </w:r>
      <w:r w:rsidR="00873B5F" w:rsidRPr="00CC6D8E">
        <w:rPr>
          <w:sz w:val="24"/>
          <w:szCs w:val="24"/>
        </w:rPr>
        <w:t xml:space="preserve">those with </w:t>
      </w:r>
      <w:r w:rsidR="009443A1" w:rsidRPr="00CC6D8E">
        <w:rPr>
          <w:sz w:val="24"/>
          <w:szCs w:val="24"/>
        </w:rPr>
        <w:t>shorter</w:t>
      </w:r>
      <w:r w:rsidR="00E83BCB" w:rsidRPr="00CC6D8E">
        <w:rPr>
          <w:sz w:val="24"/>
          <w:szCs w:val="24"/>
        </w:rPr>
        <w:t>-</w:t>
      </w:r>
      <w:r w:rsidR="009443A1" w:rsidRPr="00CC6D8E">
        <w:rPr>
          <w:sz w:val="24"/>
          <w:szCs w:val="24"/>
        </w:rPr>
        <w:t>duration</w:t>
      </w:r>
      <w:r w:rsidR="00873B5F" w:rsidRPr="00CC6D8E">
        <w:rPr>
          <w:sz w:val="24"/>
          <w:szCs w:val="24"/>
        </w:rPr>
        <w:t>s</w:t>
      </w:r>
      <w:r w:rsidR="009443A1" w:rsidRPr="00CC6D8E">
        <w:rPr>
          <w:sz w:val="24"/>
          <w:szCs w:val="24"/>
        </w:rPr>
        <w:t xml:space="preserve"> </w:t>
      </w:r>
      <w:r w:rsidR="00E961E1" w:rsidRPr="00CC6D8E">
        <w:rPr>
          <w:sz w:val="24"/>
          <w:szCs w:val="24"/>
        </w:rPr>
        <w:t xml:space="preserve">during the fourth quarter, which was a reversal from the previous two quarters. But, </w:t>
      </w:r>
      <w:r w:rsidR="006D45E7" w:rsidRPr="00CC6D8E">
        <w:rPr>
          <w:sz w:val="24"/>
          <w:szCs w:val="24"/>
        </w:rPr>
        <w:t>in 2018</w:t>
      </w:r>
      <w:r w:rsidR="00E961E1" w:rsidRPr="00CC6D8E">
        <w:rPr>
          <w:sz w:val="24"/>
          <w:szCs w:val="24"/>
        </w:rPr>
        <w:t>, shorter</w:t>
      </w:r>
      <w:r w:rsidR="00E83BCB" w:rsidRPr="00CC6D8E">
        <w:rPr>
          <w:sz w:val="24"/>
          <w:szCs w:val="24"/>
        </w:rPr>
        <w:t>-</w:t>
      </w:r>
      <w:r w:rsidR="00E961E1" w:rsidRPr="00CC6D8E">
        <w:rPr>
          <w:sz w:val="24"/>
          <w:szCs w:val="24"/>
        </w:rPr>
        <w:t>duration bonds still outperformed</w:t>
      </w:r>
      <w:r w:rsidR="00E83BCB" w:rsidRPr="00CC6D8E">
        <w:rPr>
          <w:sz w:val="24"/>
          <w:szCs w:val="24"/>
        </w:rPr>
        <w:t xml:space="preserve">, </w:t>
      </w:r>
      <w:r w:rsidR="00830DC1" w:rsidRPr="00CC6D8E">
        <w:rPr>
          <w:sz w:val="24"/>
          <w:szCs w:val="24"/>
        </w:rPr>
        <w:t>which is typical</w:t>
      </w:r>
      <w:r w:rsidRPr="00CC6D8E">
        <w:rPr>
          <w:sz w:val="24"/>
          <w:szCs w:val="24"/>
        </w:rPr>
        <w:t xml:space="preserve"> </w:t>
      </w:r>
      <w:r w:rsidR="00E961E1" w:rsidRPr="00CC6D8E">
        <w:rPr>
          <w:sz w:val="24"/>
          <w:szCs w:val="24"/>
        </w:rPr>
        <w:t xml:space="preserve">when the Fed is </w:t>
      </w:r>
      <w:r w:rsidRPr="00CC6D8E">
        <w:rPr>
          <w:sz w:val="24"/>
          <w:szCs w:val="24"/>
        </w:rPr>
        <w:t>raising</w:t>
      </w:r>
      <w:r w:rsidR="00E961E1" w:rsidRPr="00CC6D8E">
        <w:rPr>
          <w:sz w:val="24"/>
          <w:szCs w:val="24"/>
        </w:rPr>
        <w:t xml:space="preserve"> interest rates.  </w:t>
      </w:r>
    </w:p>
    <w:p w14:paraId="72993724" w14:textId="7AE550EB" w:rsidR="00E961E1" w:rsidRPr="00CC6D8E" w:rsidRDefault="00E961E1" w:rsidP="002528FF">
      <w:pPr>
        <w:spacing w:after="0" w:line="240" w:lineRule="auto"/>
        <w:rPr>
          <w:sz w:val="24"/>
          <w:szCs w:val="24"/>
        </w:rPr>
      </w:pPr>
    </w:p>
    <w:p w14:paraId="4A5E367D" w14:textId="163826EC" w:rsidR="00E961E1" w:rsidRPr="00CC6D8E" w:rsidRDefault="00E961E1" w:rsidP="002528FF">
      <w:pPr>
        <w:spacing w:after="0" w:line="240" w:lineRule="auto"/>
        <w:rPr>
          <w:sz w:val="24"/>
          <w:szCs w:val="24"/>
        </w:rPr>
      </w:pPr>
      <w:r w:rsidRPr="00CC6D8E">
        <w:rPr>
          <w:sz w:val="24"/>
          <w:szCs w:val="24"/>
        </w:rPr>
        <w:t xml:space="preserve">Corporate bonds, </w:t>
      </w:r>
      <w:r w:rsidR="002D2397" w:rsidRPr="00CC6D8E">
        <w:rPr>
          <w:sz w:val="24"/>
          <w:szCs w:val="24"/>
        </w:rPr>
        <w:t>both investment grade and high yield,</w:t>
      </w:r>
      <w:r w:rsidRPr="00CC6D8E">
        <w:rPr>
          <w:sz w:val="24"/>
          <w:szCs w:val="24"/>
        </w:rPr>
        <w:t xml:space="preserve"> fell during the fourth quarter</w:t>
      </w:r>
      <w:r w:rsidR="002D2397" w:rsidRPr="00CC6D8E">
        <w:rPr>
          <w:sz w:val="24"/>
          <w:szCs w:val="24"/>
        </w:rPr>
        <w:t xml:space="preserve">. </w:t>
      </w:r>
      <w:r w:rsidRPr="00CC6D8E">
        <w:rPr>
          <w:sz w:val="24"/>
          <w:szCs w:val="24"/>
        </w:rPr>
        <w:t>High</w:t>
      </w:r>
      <w:r w:rsidR="00E83BCB" w:rsidRPr="00CC6D8E">
        <w:rPr>
          <w:sz w:val="24"/>
          <w:szCs w:val="24"/>
        </w:rPr>
        <w:t>-y</w:t>
      </w:r>
      <w:r w:rsidRPr="00CC6D8E">
        <w:rPr>
          <w:sz w:val="24"/>
          <w:szCs w:val="24"/>
        </w:rPr>
        <w:t>ield bonds bore the brunt of the selling and finished the quarter with substantial losses.</w:t>
      </w:r>
      <w:r w:rsidR="00E83BCB" w:rsidRPr="00CC6D8E">
        <w:rPr>
          <w:sz w:val="24"/>
          <w:szCs w:val="24"/>
        </w:rPr>
        <w:t xml:space="preserve"> </w:t>
      </w:r>
      <w:r w:rsidR="002D2397" w:rsidRPr="00CC6D8E">
        <w:rPr>
          <w:sz w:val="24"/>
          <w:szCs w:val="24"/>
        </w:rPr>
        <w:t>For full-year 2018</w:t>
      </w:r>
      <w:r w:rsidRPr="00CC6D8E">
        <w:rPr>
          <w:sz w:val="24"/>
          <w:szCs w:val="24"/>
        </w:rPr>
        <w:t>, both investment grade and high</w:t>
      </w:r>
      <w:r w:rsidR="00E83BCB" w:rsidRPr="00CC6D8E">
        <w:rPr>
          <w:sz w:val="24"/>
          <w:szCs w:val="24"/>
        </w:rPr>
        <w:t>-</w:t>
      </w:r>
      <w:r w:rsidRPr="00CC6D8E">
        <w:rPr>
          <w:sz w:val="24"/>
          <w:szCs w:val="24"/>
        </w:rPr>
        <w:t xml:space="preserve">yield bonds closed with </w:t>
      </w:r>
      <w:r w:rsidR="00830DC1" w:rsidRPr="00CC6D8E">
        <w:rPr>
          <w:sz w:val="24"/>
          <w:szCs w:val="24"/>
        </w:rPr>
        <w:t>decidedly</w:t>
      </w:r>
      <w:r w:rsidRPr="00CC6D8E">
        <w:rPr>
          <w:sz w:val="24"/>
          <w:szCs w:val="24"/>
        </w:rPr>
        <w:t xml:space="preserve"> negative </w:t>
      </w:r>
      <w:r w:rsidR="000D4BAD" w:rsidRPr="00CC6D8E">
        <w:rPr>
          <w:sz w:val="24"/>
          <w:szCs w:val="24"/>
        </w:rPr>
        <w:t>total</w:t>
      </w:r>
      <w:r w:rsidRPr="00CC6D8E">
        <w:rPr>
          <w:sz w:val="24"/>
          <w:szCs w:val="24"/>
        </w:rPr>
        <w:t xml:space="preserve"> returns, as concerns about slowing economic growth and corporate earnings weighed on both bond classes.    </w:t>
      </w:r>
    </w:p>
    <w:p w14:paraId="37AB16AA" w14:textId="6F6D7DBB" w:rsidR="00581DB4" w:rsidRPr="00CC6D8E" w:rsidRDefault="00581DB4" w:rsidP="00104183">
      <w:pPr>
        <w:spacing w:after="0" w:line="240" w:lineRule="auto"/>
        <w:rPr>
          <w:sz w:val="24"/>
          <w:szCs w:val="24"/>
        </w:rPr>
      </w:pPr>
    </w:p>
    <w:p w14:paraId="052D2B5F" w14:textId="77777777" w:rsidR="002528FF" w:rsidRPr="00CC6D8E" w:rsidRDefault="002528FF" w:rsidP="002528FF">
      <w:pPr>
        <w:spacing w:after="0" w:line="240" w:lineRule="auto"/>
        <w:rPr>
          <w:sz w:val="24"/>
          <w:szCs w:val="24"/>
        </w:rPr>
      </w:pPr>
    </w:p>
    <w:tbl>
      <w:tblPr>
        <w:tblW w:w="7240" w:type="dxa"/>
        <w:jc w:val="center"/>
        <w:tblCellMar>
          <w:top w:w="15" w:type="dxa"/>
          <w:bottom w:w="15" w:type="dxa"/>
        </w:tblCellMar>
        <w:tblLook w:val="04A0" w:firstRow="1" w:lastRow="0" w:firstColumn="1" w:lastColumn="0" w:noHBand="0" w:noVBand="1"/>
      </w:tblPr>
      <w:tblGrid>
        <w:gridCol w:w="4240"/>
        <w:gridCol w:w="1500"/>
        <w:gridCol w:w="1500"/>
      </w:tblGrid>
      <w:tr w:rsidR="0055613A" w:rsidRPr="00CC6D8E" w14:paraId="082D7C96" w14:textId="77777777" w:rsidTr="00CC6D8E">
        <w:trPr>
          <w:trHeight w:val="360"/>
          <w:jc w:val="center"/>
        </w:trPr>
        <w:tc>
          <w:tcPr>
            <w:tcW w:w="42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9421658" w14:textId="77777777" w:rsidR="0028474A" w:rsidRPr="00CC6D8E" w:rsidRDefault="0028474A" w:rsidP="00F54787">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US Bond Indexes</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B5DCB9A" w14:textId="52D06FD1" w:rsidR="0028474A" w:rsidRPr="00CC6D8E" w:rsidRDefault="0028474A" w:rsidP="00F54787">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Q</w:t>
            </w:r>
            <w:r w:rsidR="00EF3C8E" w:rsidRPr="00CC6D8E">
              <w:rPr>
                <w:rFonts w:ascii="Calibri" w:eastAsia="Times New Roman" w:hAnsi="Calibri" w:cs="Calibri"/>
                <w:b/>
                <w:bCs/>
                <w:sz w:val="24"/>
                <w:szCs w:val="24"/>
              </w:rPr>
              <w:t>4</w:t>
            </w:r>
            <w:r w:rsidR="003D7EC4" w:rsidRPr="00CC6D8E">
              <w:rPr>
                <w:rFonts w:ascii="Calibri" w:eastAsia="Times New Roman" w:hAnsi="Calibri" w:cs="Calibri"/>
                <w:b/>
                <w:bCs/>
                <w:sz w:val="24"/>
                <w:szCs w:val="24"/>
              </w:rPr>
              <w:t xml:space="preserve"> Return</w:t>
            </w:r>
          </w:p>
        </w:tc>
        <w:tc>
          <w:tcPr>
            <w:tcW w:w="150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E296F9E" w14:textId="516F5890" w:rsidR="0028474A" w:rsidRPr="00CC6D8E" w:rsidRDefault="00EF3C8E" w:rsidP="00F54787">
            <w:pPr>
              <w:spacing w:after="0" w:line="240" w:lineRule="auto"/>
              <w:jc w:val="center"/>
              <w:rPr>
                <w:rFonts w:ascii="Calibri" w:eastAsia="Times New Roman" w:hAnsi="Calibri" w:cs="Calibri"/>
                <w:b/>
                <w:bCs/>
                <w:sz w:val="24"/>
                <w:szCs w:val="24"/>
              </w:rPr>
            </w:pPr>
            <w:r w:rsidRPr="00CC6D8E">
              <w:rPr>
                <w:rFonts w:ascii="Calibri" w:eastAsia="Times New Roman" w:hAnsi="Calibri" w:cs="Calibri"/>
                <w:b/>
                <w:bCs/>
                <w:sz w:val="24"/>
                <w:szCs w:val="24"/>
              </w:rPr>
              <w:t>201</w:t>
            </w:r>
            <w:r w:rsidR="006B042B" w:rsidRPr="00CC6D8E">
              <w:rPr>
                <w:rFonts w:ascii="Calibri" w:eastAsia="Times New Roman" w:hAnsi="Calibri" w:cs="Calibri"/>
                <w:b/>
                <w:bCs/>
                <w:sz w:val="24"/>
                <w:szCs w:val="24"/>
              </w:rPr>
              <w:t>8</w:t>
            </w:r>
            <w:r w:rsidR="003D7EC4" w:rsidRPr="00CC6D8E">
              <w:rPr>
                <w:rFonts w:ascii="Calibri" w:eastAsia="Times New Roman" w:hAnsi="Calibri" w:cs="Calibri"/>
                <w:b/>
                <w:bCs/>
                <w:sz w:val="24"/>
                <w:szCs w:val="24"/>
              </w:rPr>
              <w:t xml:space="preserve"> Return</w:t>
            </w:r>
          </w:p>
        </w:tc>
      </w:tr>
      <w:tr w:rsidR="0055613A" w:rsidRPr="00CC6D8E" w14:paraId="76FB082F" w14:textId="77777777" w:rsidTr="00F54787">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hideMark/>
          </w:tcPr>
          <w:p w14:paraId="07EC7711" w14:textId="77777777" w:rsidR="0028474A" w:rsidRPr="00CC6D8E" w:rsidRDefault="0028474A" w:rsidP="00F54787">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BBgBarc US Agg Bond</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05E8E4B" w14:textId="1CA9B7A3" w:rsidR="0028474A" w:rsidRPr="00CC6D8E" w:rsidRDefault="004131F0"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1.64%</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0486A80" w14:textId="214AEB3A" w:rsidR="0028474A" w:rsidRPr="00CC6D8E" w:rsidRDefault="004131F0"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0.01%</w:t>
            </w:r>
          </w:p>
        </w:tc>
      </w:tr>
      <w:tr w:rsidR="0055613A" w:rsidRPr="00CC6D8E" w14:paraId="462369C1" w14:textId="77777777" w:rsidTr="00F54787">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tcPr>
          <w:p w14:paraId="530FDA0E" w14:textId="24505B50" w:rsidR="0028474A" w:rsidRPr="00CC6D8E" w:rsidRDefault="00EF3C8E" w:rsidP="00F54787">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 xml:space="preserve">BBgBarc US </w:t>
            </w:r>
            <w:r w:rsidR="0028474A" w:rsidRPr="00CC6D8E">
              <w:rPr>
                <w:rFonts w:ascii="Calibri" w:eastAsia="Times New Roman" w:hAnsi="Calibri" w:cs="Calibri"/>
                <w:sz w:val="24"/>
                <w:szCs w:val="24"/>
              </w:rPr>
              <w:t xml:space="preserve">T-Bill </w:t>
            </w:r>
            <w:r w:rsidRPr="00CC6D8E">
              <w:rPr>
                <w:rFonts w:ascii="Calibri" w:eastAsia="Times New Roman" w:hAnsi="Calibri" w:cs="Calibri"/>
                <w:sz w:val="24"/>
                <w:szCs w:val="24"/>
              </w:rPr>
              <w:t>1-3 Mon</w:t>
            </w:r>
          </w:p>
        </w:tc>
        <w:tc>
          <w:tcPr>
            <w:tcW w:w="1500" w:type="dxa"/>
            <w:tcBorders>
              <w:top w:val="single" w:sz="4" w:space="0" w:color="auto"/>
              <w:left w:val="single" w:sz="4" w:space="0" w:color="auto"/>
              <w:bottom w:val="single" w:sz="4" w:space="0" w:color="auto"/>
              <w:right w:val="single" w:sz="4" w:space="0" w:color="auto"/>
            </w:tcBorders>
            <w:vAlign w:val="center"/>
          </w:tcPr>
          <w:p w14:paraId="2CACC05F" w14:textId="568608F0" w:rsidR="0028474A" w:rsidRPr="00CC6D8E" w:rsidRDefault="004131F0"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0.56%</w:t>
            </w:r>
          </w:p>
        </w:tc>
        <w:tc>
          <w:tcPr>
            <w:tcW w:w="1500" w:type="dxa"/>
            <w:tcBorders>
              <w:top w:val="single" w:sz="4" w:space="0" w:color="auto"/>
              <w:left w:val="single" w:sz="4" w:space="0" w:color="auto"/>
              <w:bottom w:val="single" w:sz="4" w:space="0" w:color="auto"/>
              <w:right w:val="single" w:sz="4" w:space="0" w:color="auto"/>
            </w:tcBorders>
            <w:vAlign w:val="center"/>
          </w:tcPr>
          <w:p w14:paraId="65EAE6BD" w14:textId="3D93340A" w:rsidR="0028474A" w:rsidRPr="00CC6D8E" w:rsidRDefault="004131F0"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1.82%</w:t>
            </w:r>
          </w:p>
        </w:tc>
      </w:tr>
      <w:tr w:rsidR="0055613A" w:rsidRPr="00CC6D8E" w14:paraId="6EA614BE" w14:textId="77777777" w:rsidTr="00F54787">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tcPr>
          <w:p w14:paraId="2921AEBD" w14:textId="2D17F074" w:rsidR="0028474A" w:rsidRPr="00CC6D8E" w:rsidRDefault="00017EE1" w:rsidP="00F54787">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ICE US T-Bond 7-10 Year</w:t>
            </w:r>
          </w:p>
        </w:tc>
        <w:tc>
          <w:tcPr>
            <w:tcW w:w="1500" w:type="dxa"/>
            <w:tcBorders>
              <w:top w:val="single" w:sz="4" w:space="0" w:color="auto"/>
              <w:left w:val="single" w:sz="4" w:space="0" w:color="auto"/>
              <w:bottom w:val="single" w:sz="4" w:space="0" w:color="auto"/>
              <w:right w:val="single" w:sz="4" w:space="0" w:color="auto"/>
            </w:tcBorders>
            <w:vAlign w:val="center"/>
          </w:tcPr>
          <w:p w14:paraId="0353DD02" w14:textId="7646A226" w:rsidR="0028474A" w:rsidRPr="00CC6D8E" w:rsidRDefault="004131F0"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3.75%</w:t>
            </w:r>
          </w:p>
        </w:tc>
        <w:tc>
          <w:tcPr>
            <w:tcW w:w="1500" w:type="dxa"/>
            <w:tcBorders>
              <w:top w:val="single" w:sz="4" w:space="0" w:color="auto"/>
              <w:left w:val="single" w:sz="4" w:space="0" w:color="auto"/>
              <w:bottom w:val="single" w:sz="4" w:space="0" w:color="auto"/>
              <w:right w:val="single" w:sz="4" w:space="0" w:color="auto"/>
            </w:tcBorders>
            <w:vAlign w:val="center"/>
          </w:tcPr>
          <w:p w14:paraId="6AED92A3" w14:textId="4A83AEE3" w:rsidR="0028474A" w:rsidRPr="00CC6D8E" w:rsidRDefault="004131F0"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0.90%</w:t>
            </w:r>
          </w:p>
        </w:tc>
      </w:tr>
      <w:tr w:rsidR="0055613A" w:rsidRPr="00CC6D8E" w14:paraId="611052E5" w14:textId="77777777" w:rsidTr="00F54787">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hideMark/>
          </w:tcPr>
          <w:p w14:paraId="7385F090" w14:textId="2C8317B4" w:rsidR="006B042B" w:rsidRPr="00CC6D8E" w:rsidRDefault="006B042B" w:rsidP="00F54787">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BBgBarc US MBS (Mortgage-backed)</w:t>
            </w:r>
          </w:p>
        </w:tc>
        <w:tc>
          <w:tcPr>
            <w:tcW w:w="1500" w:type="dxa"/>
            <w:tcBorders>
              <w:top w:val="single" w:sz="4" w:space="0" w:color="auto"/>
              <w:left w:val="single" w:sz="4" w:space="0" w:color="auto"/>
              <w:bottom w:val="single" w:sz="4" w:space="0" w:color="auto"/>
              <w:right w:val="single" w:sz="4" w:space="0" w:color="auto"/>
            </w:tcBorders>
            <w:vAlign w:val="center"/>
            <w:hideMark/>
          </w:tcPr>
          <w:p w14:paraId="5C2B4D37" w14:textId="24BE13AE" w:rsidR="006B042B" w:rsidRPr="00CC6D8E" w:rsidRDefault="008342E5"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2.08%</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D696CBF" w14:textId="7DA7F01C" w:rsidR="006B042B" w:rsidRPr="00CC6D8E" w:rsidRDefault="008342E5"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0.99%</w:t>
            </w:r>
          </w:p>
        </w:tc>
      </w:tr>
      <w:tr w:rsidR="0055613A" w:rsidRPr="00CC6D8E" w14:paraId="624060A4" w14:textId="77777777" w:rsidTr="00F54787">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hideMark/>
          </w:tcPr>
          <w:p w14:paraId="40C7B66A" w14:textId="451E529A" w:rsidR="006B042B" w:rsidRPr="00CC6D8E" w:rsidRDefault="006B042B" w:rsidP="00F54787">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BBgBarc Municipal</w:t>
            </w:r>
          </w:p>
        </w:tc>
        <w:tc>
          <w:tcPr>
            <w:tcW w:w="1500" w:type="dxa"/>
            <w:tcBorders>
              <w:top w:val="single" w:sz="4" w:space="0" w:color="auto"/>
              <w:left w:val="single" w:sz="4" w:space="0" w:color="auto"/>
              <w:bottom w:val="single" w:sz="4" w:space="0" w:color="auto"/>
              <w:right w:val="single" w:sz="4" w:space="0" w:color="auto"/>
            </w:tcBorders>
            <w:vAlign w:val="center"/>
            <w:hideMark/>
          </w:tcPr>
          <w:p w14:paraId="4D27C64C" w14:textId="498A6C6F" w:rsidR="006B042B" w:rsidRPr="00CC6D8E" w:rsidRDefault="008342E5"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1.69%</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C2C9090" w14:textId="7F3AA02C" w:rsidR="006B042B" w:rsidRPr="00CC6D8E" w:rsidRDefault="008342E5"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1.28%</w:t>
            </w:r>
          </w:p>
        </w:tc>
      </w:tr>
      <w:tr w:rsidR="0055613A" w:rsidRPr="00CC6D8E" w14:paraId="13CF6A8F" w14:textId="77777777" w:rsidTr="00F54787">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hideMark/>
          </w:tcPr>
          <w:p w14:paraId="66B99554" w14:textId="065E9B86" w:rsidR="006B042B" w:rsidRPr="00CC6D8E" w:rsidRDefault="006B042B" w:rsidP="00F54787">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BBgBarc US Corporate Invest Grade</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CC3D9BA" w14:textId="2F5DA1E7" w:rsidR="006B042B" w:rsidRPr="00CC6D8E" w:rsidRDefault="008342E5"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-0.54%</w:t>
            </w:r>
          </w:p>
        </w:tc>
        <w:tc>
          <w:tcPr>
            <w:tcW w:w="1500" w:type="dxa"/>
            <w:tcBorders>
              <w:top w:val="single" w:sz="4" w:space="0" w:color="auto"/>
              <w:left w:val="single" w:sz="4" w:space="0" w:color="auto"/>
              <w:bottom w:val="single" w:sz="4" w:space="0" w:color="auto"/>
              <w:right w:val="single" w:sz="4" w:space="0" w:color="auto"/>
            </w:tcBorders>
            <w:vAlign w:val="center"/>
            <w:hideMark/>
          </w:tcPr>
          <w:p w14:paraId="6662E69A" w14:textId="2ACC64BB" w:rsidR="006B042B" w:rsidRPr="00CC6D8E" w:rsidRDefault="008342E5"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-3.69%</w:t>
            </w:r>
          </w:p>
        </w:tc>
      </w:tr>
      <w:tr w:rsidR="0055613A" w:rsidRPr="00CC6D8E" w14:paraId="1E75C062" w14:textId="77777777" w:rsidTr="00F54787">
        <w:trPr>
          <w:trHeight w:val="360"/>
          <w:jc w:val="center"/>
        </w:trPr>
        <w:tc>
          <w:tcPr>
            <w:tcW w:w="4240" w:type="dxa"/>
            <w:tcBorders>
              <w:top w:val="single" w:sz="4" w:space="0" w:color="auto"/>
              <w:left w:val="single" w:sz="4" w:space="0" w:color="auto"/>
              <w:bottom w:val="single" w:sz="4" w:space="0" w:color="auto"/>
              <w:right w:val="single" w:sz="4" w:space="0" w:color="auto"/>
            </w:tcBorders>
            <w:vAlign w:val="center"/>
          </w:tcPr>
          <w:p w14:paraId="34EA6645" w14:textId="41FBF0B8" w:rsidR="006B042B" w:rsidRPr="00CC6D8E" w:rsidRDefault="006B042B" w:rsidP="00F54787">
            <w:pPr>
              <w:spacing w:after="0" w:line="240" w:lineRule="auto"/>
              <w:rPr>
                <w:rFonts w:ascii="Calibri" w:eastAsia="Times New Roman" w:hAnsi="Calibri" w:cs="Calibri"/>
                <w:sz w:val="24"/>
                <w:szCs w:val="24"/>
              </w:rPr>
            </w:pPr>
            <w:r w:rsidRPr="00CC6D8E">
              <w:rPr>
                <w:rFonts w:ascii="Calibri" w:eastAsia="Times New Roman" w:hAnsi="Calibri" w:cs="Calibri"/>
                <w:sz w:val="24"/>
                <w:szCs w:val="24"/>
              </w:rPr>
              <w:t>BBgBarc US Corporate High Yield</w:t>
            </w:r>
          </w:p>
        </w:tc>
        <w:tc>
          <w:tcPr>
            <w:tcW w:w="1500" w:type="dxa"/>
            <w:tcBorders>
              <w:top w:val="single" w:sz="4" w:space="0" w:color="auto"/>
              <w:left w:val="single" w:sz="4" w:space="0" w:color="auto"/>
              <w:bottom w:val="single" w:sz="4" w:space="0" w:color="auto"/>
              <w:right w:val="single" w:sz="4" w:space="0" w:color="auto"/>
            </w:tcBorders>
            <w:vAlign w:val="center"/>
          </w:tcPr>
          <w:p w14:paraId="79C3E3AC" w14:textId="4E0022F8" w:rsidR="006B042B" w:rsidRPr="00CC6D8E" w:rsidRDefault="008342E5"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-4.72%</w:t>
            </w:r>
          </w:p>
        </w:tc>
        <w:tc>
          <w:tcPr>
            <w:tcW w:w="1500" w:type="dxa"/>
            <w:tcBorders>
              <w:top w:val="single" w:sz="4" w:space="0" w:color="auto"/>
              <w:left w:val="single" w:sz="4" w:space="0" w:color="auto"/>
              <w:bottom w:val="single" w:sz="4" w:space="0" w:color="auto"/>
              <w:right w:val="single" w:sz="4" w:space="0" w:color="auto"/>
            </w:tcBorders>
            <w:vAlign w:val="center"/>
          </w:tcPr>
          <w:p w14:paraId="084A40A5" w14:textId="767020CA" w:rsidR="006B042B" w:rsidRPr="00CC6D8E" w:rsidRDefault="008342E5" w:rsidP="00F54787">
            <w:pPr>
              <w:spacing w:after="0" w:line="240" w:lineRule="auto"/>
              <w:jc w:val="center"/>
              <w:rPr>
                <w:rFonts w:ascii="Calibri" w:eastAsia="Times New Roman" w:hAnsi="Calibri" w:cs="Calibri"/>
                <w:sz w:val="24"/>
                <w:szCs w:val="24"/>
              </w:rPr>
            </w:pPr>
            <w:r w:rsidRPr="00CC6D8E">
              <w:rPr>
                <w:rFonts w:ascii="Calibri" w:eastAsia="Times New Roman" w:hAnsi="Calibri" w:cs="Calibri"/>
                <w:sz w:val="24"/>
                <w:szCs w:val="24"/>
              </w:rPr>
              <w:t>-2.57%</w:t>
            </w:r>
          </w:p>
        </w:tc>
      </w:tr>
    </w:tbl>
    <w:p w14:paraId="4F111FF0" w14:textId="77777777" w:rsidR="0028474A" w:rsidRPr="00CC6D8E" w:rsidRDefault="0028474A" w:rsidP="0028474A">
      <w:pPr>
        <w:spacing w:after="0" w:line="240" w:lineRule="auto"/>
        <w:jc w:val="center"/>
        <w:rPr>
          <w:i/>
          <w:sz w:val="24"/>
          <w:szCs w:val="24"/>
        </w:rPr>
      </w:pPr>
      <w:r w:rsidRPr="00CC6D8E">
        <w:rPr>
          <w:i/>
          <w:sz w:val="24"/>
          <w:szCs w:val="24"/>
        </w:rPr>
        <w:t>Source: Morningstar</w:t>
      </w:r>
    </w:p>
    <w:p w14:paraId="53A88FAD" w14:textId="77777777" w:rsidR="00905E73" w:rsidRPr="00CC6D8E" w:rsidRDefault="00905E73" w:rsidP="00255A78">
      <w:pPr>
        <w:spacing w:after="0" w:line="240" w:lineRule="auto"/>
        <w:rPr>
          <w:sz w:val="24"/>
          <w:szCs w:val="24"/>
        </w:rPr>
      </w:pPr>
    </w:p>
    <w:p w14:paraId="521D215B" w14:textId="77777777" w:rsidR="00CC6D8E" w:rsidRDefault="00CC6D8E" w:rsidP="00255A78">
      <w:pPr>
        <w:spacing w:after="0" w:line="240" w:lineRule="auto"/>
        <w:rPr>
          <w:sz w:val="24"/>
          <w:szCs w:val="24"/>
          <w:u w:val="single"/>
        </w:rPr>
      </w:pPr>
    </w:p>
    <w:p w14:paraId="7BEAF8CB" w14:textId="77777777" w:rsidR="00CC6D8E" w:rsidRDefault="00CC6D8E" w:rsidP="00255A78">
      <w:pPr>
        <w:spacing w:after="0" w:line="240" w:lineRule="auto"/>
        <w:rPr>
          <w:sz w:val="24"/>
          <w:szCs w:val="24"/>
          <w:u w:val="single"/>
        </w:rPr>
      </w:pPr>
    </w:p>
    <w:p w14:paraId="11E0F980" w14:textId="42957D0B" w:rsidR="00497F76" w:rsidRPr="00CC6D8E" w:rsidRDefault="00A76F18" w:rsidP="00CC6D8E">
      <w:pPr>
        <w:pStyle w:val="Heading2"/>
      </w:pPr>
      <w:r w:rsidRPr="00CC6D8E">
        <w:lastRenderedPageBreak/>
        <w:t>1</w:t>
      </w:r>
      <w:r w:rsidRPr="00CC6D8E">
        <w:rPr>
          <w:vertAlign w:val="superscript"/>
        </w:rPr>
        <w:t>st</w:t>
      </w:r>
      <w:r w:rsidRPr="00CC6D8E">
        <w:t xml:space="preserve"> </w:t>
      </w:r>
      <w:r w:rsidR="00497F76" w:rsidRPr="00CC6D8E">
        <w:t>Quarter</w:t>
      </w:r>
      <w:r w:rsidR="00D93CB5" w:rsidRPr="00CC6D8E">
        <w:t xml:space="preserve"> and </w:t>
      </w:r>
      <w:r w:rsidR="00747C8A" w:rsidRPr="00CC6D8E">
        <w:t>2019</w:t>
      </w:r>
      <w:r w:rsidR="00E83BCB" w:rsidRPr="00CC6D8E">
        <w:t xml:space="preserve"> </w:t>
      </w:r>
      <w:r w:rsidR="00D93CB5" w:rsidRPr="00CC6D8E">
        <w:t xml:space="preserve">Market </w:t>
      </w:r>
      <w:r w:rsidR="00497F76" w:rsidRPr="00CC6D8E">
        <w:t>Outlook</w:t>
      </w:r>
    </w:p>
    <w:p w14:paraId="71DAD4C0" w14:textId="77777777" w:rsidR="00BF634E" w:rsidRPr="00CC6D8E" w:rsidRDefault="00BF634E" w:rsidP="00255A78">
      <w:pPr>
        <w:spacing w:after="0" w:line="240" w:lineRule="auto"/>
        <w:rPr>
          <w:sz w:val="24"/>
          <w:szCs w:val="24"/>
          <w:u w:val="single"/>
        </w:rPr>
      </w:pPr>
    </w:p>
    <w:p w14:paraId="7C61EA02" w14:textId="3448CBF6" w:rsidR="0019772F" w:rsidRPr="00CC6D8E" w:rsidRDefault="00BF634E" w:rsidP="00255A78">
      <w:pPr>
        <w:spacing w:after="0" w:line="240" w:lineRule="auto"/>
        <w:rPr>
          <w:sz w:val="24"/>
          <w:szCs w:val="24"/>
        </w:rPr>
      </w:pPr>
      <w:r w:rsidRPr="00CC6D8E">
        <w:rPr>
          <w:sz w:val="24"/>
          <w:szCs w:val="24"/>
        </w:rPr>
        <w:t>I</w:t>
      </w:r>
      <w:r w:rsidR="00A57692" w:rsidRPr="00CC6D8E">
        <w:rPr>
          <w:sz w:val="24"/>
          <w:szCs w:val="24"/>
        </w:rPr>
        <w:t>nvestors begin 2019 reeling from the worst quarter in years</w:t>
      </w:r>
      <w:r w:rsidR="006D45E7" w:rsidRPr="00CC6D8E">
        <w:rPr>
          <w:sz w:val="24"/>
          <w:szCs w:val="24"/>
        </w:rPr>
        <w:t xml:space="preserve"> </w:t>
      </w:r>
      <w:r w:rsidR="00B905D9" w:rsidRPr="00CC6D8E">
        <w:rPr>
          <w:sz w:val="24"/>
          <w:szCs w:val="24"/>
        </w:rPr>
        <w:t xml:space="preserve">and </w:t>
      </w:r>
      <w:r w:rsidR="00D42DA2" w:rsidRPr="00CC6D8E">
        <w:rPr>
          <w:sz w:val="24"/>
          <w:szCs w:val="24"/>
        </w:rPr>
        <w:t>with markets</w:t>
      </w:r>
      <w:r w:rsidR="00A57692" w:rsidRPr="00CC6D8E">
        <w:rPr>
          <w:sz w:val="24"/>
          <w:szCs w:val="24"/>
        </w:rPr>
        <w:t xml:space="preserve"> facing multiple head</w:t>
      </w:r>
      <w:r w:rsidR="00D42DA2" w:rsidRPr="00CC6D8E">
        <w:rPr>
          <w:sz w:val="24"/>
          <w:szCs w:val="24"/>
        </w:rPr>
        <w:t>winds</w:t>
      </w:r>
      <w:r w:rsidR="00A57692" w:rsidRPr="00CC6D8E">
        <w:rPr>
          <w:sz w:val="24"/>
          <w:szCs w:val="24"/>
        </w:rPr>
        <w:t xml:space="preserve"> including an uncertain outlook for corporate earnings, </w:t>
      </w:r>
      <w:r w:rsidRPr="00CC6D8E">
        <w:rPr>
          <w:sz w:val="24"/>
          <w:szCs w:val="24"/>
        </w:rPr>
        <w:t xml:space="preserve">potentially slowing economic growth, and a </w:t>
      </w:r>
      <w:r w:rsidR="00A57692" w:rsidRPr="00CC6D8E">
        <w:rPr>
          <w:sz w:val="24"/>
          <w:szCs w:val="24"/>
        </w:rPr>
        <w:t>lack of clarity on Fed polic</w:t>
      </w:r>
      <w:r w:rsidRPr="00CC6D8E">
        <w:rPr>
          <w:sz w:val="24"/>
          <w:szCs w:val="24"/>
        </w:rPr>
        <w:t>y</w:t>
      </w:r>
      <w:r w:rsidR="00A57692" w:rsidRPr="00CC6D8E">
        <w:rPr>
          <w:sz w:val="24"/>
          <w:szCs w:val="24"/>
        </w:rPr>
        <w:t xml:space="preserve">. Yet, at the same time, these concerns have been at least partially acknowledged by the markets as the major U.S. stock indices </w:t>
      </w:r>
      <w:r w:rsidR="000D4BAD" w:rsidRPr="00CC6D8E">
        <w:rPr>
          <w:sz w:val="24"/>
          <w:szCs w:val="24"/>
        </w:rPr>
        <w:t xml:space="preserve">begin 2019 more than </w:t>
      </w:r>
      <w:r w:rsidR="002D2397" w:rsidRPr="00CC6D8E">
        <w:rPr>
          <w:sz w:val="24"/>
          <w:szCs w:val="24"/>
        </w:rPr>
        <w:t>1</w:t>
      </w:r>
      <w:r w:rsidR="000D4BAD" w:rsidRPr="00CC6D8E">
        <w:rPr>
          <w:sz w:val="24"/>
          <w:szCs w:val="24"/>
        </w:rPr>
        <w:t>0</w:t>
      </w:r>
      <w:r w:rsidR="00A57692" w:rsidRPr="00CC6D8E">
        <w:rPr>
          <w:sz w:val="24"/>
          <w:szCs w:val="24"/>
        </w:rPr>
        <w:t xml:space="preserve">% off </w:t>
      </w:r>
      <w:r w:rsidR="008D2627" w:rsidRPr="00CC6D8E">
        <w:rPr>
          <w:sz w:val="24"/>
          <w:szCs w:val="24"/>
        </w:rPr>
        <w:t xml:space="preserve">their </w:t>
      </w:r>
      <w:r w:rsidR="00830DC1" w:rsidRPr="00CC6D8E">
        <w:rPr>
          <w:sz w:val="24"/>
          <w:szCs w:val="24"/>
        </w:rPr>
        <w:t>2018</w:t>
      </w:r>
      <w:r w:rsidR="008D2627" w:rsidRPr="00CC6D8E">
        <w:rPr>
          <w:sz w:val="24"/>
          <w:szCs w:val="24"/>
        </w:rPr>
        <w:t xml:space="preserve"> highs</w:t>
      </w:r>
      <w:r w:rsidR="000D4BAD" w:rsidRPr="00CC6D8E">
        <w:rPr>
          <w:sz w:val="24"/>
          <w:szCs w:val="24"/>
        </w:rPr>
        <w:t>,</w:t>
      </w:r>
      <w:r w:rsidR="00A9428A" w:rsidRPr="00CC6D8E">
        <w:rPr>
          <w:sz w:val="24"/>
          <w:szCs w:val="24"/>
        </w:rPr>
        <w:t xml:space="preserve"> </w:t>
      </w:r>
      <w:r w:rsidR="008D2627" w:rsidRPr="00CC6D8E">
        <w:rPr>
          <w:sz w:val="24"/>
          <w:szCs w:val="24"/>
        </w:rPr>
        <w:t xml:space="preserve">as expectations for earnings and economic growth have been reduced.  </w:t>
      </w:r>
    </w:p>
    <w:p w14:paraId="420FC9EF" w14:textId="72C2B129" w:rsidR="00A57692" w:rsidRPr="00CC6D8E" w:rsidRDefault="00A57692" w:rsidP="00255A78">
      <w:pPr>
        <w:spacing w:after="0" w:line="240" w:lineRule="auto"/>
        <w:rPr>
          <w:sz w:val="24"/>
          <w:szCs w:val="24"/>
        </w:rPr>
      </w:pPr>
    </w:p>
    <w:p w14:paraId="32135BD8" w14:textId="5D091BAA" w:rsidR="00A57692" w:rsidRPr="00CC6D8E" w:rsidRDefault="00A57692" w:rsidP="00255A78">
      <w:pPr>
        <w:spacing w:after="0" w:line="240" w:lineRule="auto"/>
        <w:rPr>
          <w:sz w:val="24"/>
          <w:szCs w:val="24"/>
        </w:rPr>
      </w:pPr>
      <w:r w:rsidRPr="00CC6D8E">
        <w:rPr>
          <w:sz w:val="24"/>
          <w:szCs w:val="24"/>
        </w:rPr>
        <w:t>At a minimum, we can expect continued</w:t>
      </w:r>
      <w:r w:rsidR="006D45E7" w:rsidRPr="00CC6D8E">
        <w:rPr>
          <w:sz w:val="24"/>
          <w:szCs w:val="24"/>
        </w:rPr>
        <w:t xml:space="preserve"> </w:t>
      </w:r>
      <w:r w:rsidRPr="00CC6D8E">
        <w:rPr>
          <w:sz w:val="24"/>
          <w:szCs w:val="24"/>
        </w:rPr>
        <w:t xml:space="preserve">volatility in stock, bond and commodity markets in the coming months. </w:t>
      </w:r>
      <w:r w:rsidR="00BF634E" w:rsidRPr="00CC6D8E">
        <w:rPr>
          <w:sz w:val="24"/>
          <w:szCs w:val="24"/>
        </w:rPr>
        <w:t xml:space="preserve">And, </w:t>
      </w:r>
      <w:r w:rsidRPr="00CC6D8E">
        <w:rPr>
          <w:sz w:val="24"/>
          <w:szCs w:val="24"/>
        </w:rPr>
        <w:t>whether the markets continue the fourth</w:t>
      </w:r>
      <w:r w:rsidR="00493EC6" w:rsidRPr="00CC6D8E">
        <w:rPr>
          <w:sz w:val="24"/>
          <w:szCs w:val="24"/>
        </w:rPr>
        <w:t>-</w:t>
      </w:r>
      <w:r w:rsidRPr="00CC6D8E">
        <w:rPr>
          <w:sz w:val="24"/>
          <w:szCs w:val="24"/>
        </w:rPr>
        <w:t xml:space="preserve">quarter declines or rebound will depend largely on the resolution of those three uncertainties facing markets: Earnings, </w:t>
      </w:r>
      <w:r w:rsidR="00BF634E" w:rsidRPr="00CC6D8E">
        <w:rPr>
          <w:sz w:val="24"/>
          <w:szCs w:val="24"/>
        </w:rPr>
        <w:t>economic growth and Fed</w:t>
      </w:r>
      <w:r w:rsidR="008D2627" w:rsidRPr="00CC6D8E">
        <w:rPr>
          <w:sz w:val="24"/>
          <w:szCs w:val="24"/>
        </w:rPr>
        <w:t xml:space="preserve"> polic</w:t>
      </w:r>
      <w:r w:rsidR="00830DC1" w:rsidRPr="00CC6D8E">
        <w:rPr>
          <w:sz w:val="24"/>
          <w:szCs w:val="24"/>
        </w:rPr>
        <w:t>y</w:t>
      </w:r>
      <w:r w:rsidR="008D2627" w:rsidRPr="00CC6D8E">
        <w:rPr>
          <w:sz w:val="24"/>
          <w:szCs w:val="24"/>
        </w:rPr>
        <w:t>.</w:t>
      </w:r>
      <w:r w:rsidR="00830DC1" w:rsidRPr="00CC6D8E">
        <w:rPr>
          <w:sz w:val="24"/>
          <w:szCs w:val="24"/>
        </w:rPr>
        <w:t xml:space="preserve"> </w:t>
      </w:r>
    </w:p>
    <w:p w14:paraId="1FEE7E72" w14:textId="1B75A4B3" w:rsidR="00A57692" w:rsidRPr="00CC6D8E" w:rsidRDefault="00A57692" w:rsidP="00255A78">
      <w:pPr>
        <w:spacing w:after="0" w:line="240" w:lineRule="auto"/>
        <w:rPr>
          <w:sz w:val="24"/>
          <w:szCs w:val="24"/>
        </w:rPr>
      </w:pPr>
    </w:p>
    <w:p w14:paraId="6EF533B4" w14:textId="2CEDEF43" w:rsidR="00DD4E62" w:rsidRPr="00CC6D8E" w:rsidRDefault="00A57692" w:rsidP="00255A78">
      <w:pPr>
        <w:spacing w:after="0" w:line="240" w:lineRule="auto"/>
        <w:rPr>
          <w:sz w:val="24"/>
          <w:szCs w:val="24"/>
        </w:rPr>
      </w:pPr>
      <w:r w:rsidRPr="00CC6D8E">
        <w:rPr>
          <w:sz w:val="24"/>
          <w:szCs w:val="24"/>
        </w:rPr>
        <w:t>Regarding earnings, the bulk of the fourth</w:t>
      </w:r>
      <w:r w:rsidR="00493EC6" w:rsidRPr="00CC6D8E">
        <w:rPr>
          <w:sz w:val="24"/>
          <w:szCs w:val="24"/>
        </w:rPr>
        <w:t>-</w:t>
      </w:r>
      <w:r w:rsidRPr="00CC6D8E">
        <w:rPr>
          <w:sz w:val="24"/>
          <w:szCs w:val="24"/>
        </w:rPr>
        <w:t xml:space="preserve">quarter 2018 earnings results will be released </w:t>
      </w:r>
      <w:r w:rsidR="00044011" w:rsidRPr="00CC6D8E">
        <w:rPr>
          <w:sz w:val="24"/>
          <w:szCs w:val="24"/>
        </w:rPr>
        <w:t>this month</w:t>
      </w:r>
      <w:r w:rsidRPr="00CC6D8E">
        <w:rPr>
          <w:sz w:val="24"/>
          <w:szCs w:val="24"/>
        </w:rPr>
        <w:t xml:space="preserve">, so within the next few weeks we </w:t>
      </w:r>
      <w:r w:rsidR="00B905D9" w:rsidRPr="00CC6D8E">
        <w:rPr>
          <w:sz w:val="24"/>
          <w:szCs w:val="24"/>
        </w:rPr>
        <w:t>should</w:t>
      </w:r>
      <w:r w:rsidRPr="00CC6D8E">
        <w:rPr>
          <w:sz w:val="24"/>
          <w:szCs w:val="24"/>
        </w:rPr>
        <w:t xml:space="preserve"> </w:t>
      </w:r>
      <w:r w:rsidR="008D2627" w:rsidRPr="00CC6D8E">
        <w:rPr>
          <w:sz w:val="24"/>
          <w:szCs w:val="24"/>
        </w:rPr>
        <w:t>learn</w:t>
      </w:r>
      <w:r w:rsidRPr="00CC6D8E">
        <w:rPr>
          <w:sz w:val="24"/>
          <w:szCs w:val="24"/>
        </w:rPr>
        <w:t xml:space="preserve"> whether U.S. corporate results have stabilize</w:t>
      </w:r>
      <w:r w:rsidR="00DD4E62" w:rsidRPr="00CC6D8E">
        <w:rPr>
          <w:sz w:val="24"/>
          <w:szCs w:val="24"/>
        </w:rPr>
        <w:t>d, or whether the disappointing guidance we saw from companies in Q3 continue</w:t>
      </w:r>
      <w:r w:rsidR="00044011" w:rsidRPr="00CC6D8E">
        <w:rPr>
          <w:sz w:val="24"/>
          <w:szCs w:val="24"/>
        </w:rPr>
        <w:t>d</w:t>
      </w:r>
      <w:r w:rsidR="00BF634E" w:rsidRPr="00CC6D8E">
        <w:rPr>
          <w:sz w:val="24"/>
          <w:szCs w:val="24"/>
        </w:rPr>
        <w:t xml:space="preserve">. </w:t>
      </w:r>
    </w:p>
    <w:p w14:paraId="411BE1DB" w14:textId="65B460AE" w:rsidR="00DD4E62" w:rsidRPr="00CC6D8E" w:rsidRDefault="00DD4E62" w:rsidP="00255A78">
      <w:pPr>
        <w:spacing w:after="0" w:line="240" w:lineRule="auto"/>
        <w:rPr>
          <w:sz w:val="24"/>
          <w:szCs w:val="24"/>
        </w:rPr>
      </w:pPr>
    </w:p>
    <w:p w14:paraId="604E3451" w14:textId="682B5CC8" w:rsidR="00BF634E" w:rsidRPr="00CC6D8E" w:rsidRDefault="00BF634E" w:rsidP="00BF634E">
      <w:pPr>
        <w:spacing w:after="0" w:line="240" w:lineRule="auto"/>
        <w:rPr>
          <w:sz w:val="24"/>
          <w:szCs w:val="24"/>
        </w:rPr>
      </w:pPr>
      <w:r w:rsidRPr="00CC6D8E">
        <w:rPr>
          <w:sz w:val="24"/>
          <w:szCs w:val="24"/>
        </w:rPr>
        <w:t xml:space="preserve">Economically, investors will be focused on widely followed economic reports (including the </w:t>
      </w:r>
      <w:r w:rsidR="00B905D9" w:rsidRPr="00CC6D8E">
        <w:rPr>
          <w:sz w:val="24"/>
          <w:szCs w:val="24"/>
        </w:rPr>
        <w:t>December</w:t>
      </w:r>
      <w:r w:rsidR="00044011" w:rsidRPr="00CC6D8E">
        <w:rPr>
          <w:sz w:val="24"/>
          <w:szCs w:val="24"/>
        </w:rPr>
        <w:t xml:space="preserve"> </w:t>
      </w:r>
      <w:r w:rsidRPr="00CC6D8E">
        <w:rPr>
          <w:sz w:val="24"/>
          <w:szCs w:val="24"/>
        </w:rPr>
        <w:t xml:space="preserve">Employment Situation Report, ISM Manufacturing PMI, Retail Sales, Core PCE Price Index) to determine whether U.S. economic growth has indeed peaked.  </w:t>
      </w:r>
    </w:p>
    <w:p w14:paraId="4CD69CE7" w14:textId="77777777" w:rsidR="00BF634E" w:rsidRPr="00CC6D8E" w:rsidRDefault="00BF634E" w:rsidP="00255A78">
      <w:pPr>
        <w:spacing w:after="0" w:line="240" w:lineRule="auto"/>
        <w:rPr>
          <w:sz w:val="24"/>
          <w:szCs w:val="24"/>
        </w:rPr>
      </w:pPr>
    </w:p>
    <w:p w14:paraId="53EDD00C" w14:textId="750314A0" w:rsidR="00DD4E62" w:rsidRPr="00CC6D8E" w:rsidRDefault="00DD4E62" w:rsidP="00255A78">
      <w:pPr>
        <w:spacing w:after="0" w:line="240" w:lineRule="auto"/>
        <w:rPr>
          <w:sz w:val="24"/>
          <w:szCs w:val="24"/>
        </w:rPr>
      </w:pPr>
      <w:r w:rsidRPr="00CC6D8E">
        <w:rPr>
          <w:sz w:val="24"/>
          <w:szCs w:val="24"/>
        </w:rPr>
        <w:t>From a Fed policy standpoint, the next Fed meeting occurs at the end of January, but there’s an important change in Fed procedure to consider in 2019. Fed Chair Jerome Powell will hold a press conference after each meeting in 2019 (</w:t>
      </w:r>
      <w:r w:rsidR="006D45E7" w:rsidRPr="00CC6D8E">
        <w:rPr>
          <w:sz w:val="24"/>
          <w:szCs w:val="24"/>
        </w:rPr>
        <w:t>the</w:t>
      </w:r>
      <w:r w:rsidRPr="00CC6D8E">
        <w:rPr>
          <w:sz w:val="24"/>
          <w:szCs w:val="24"/>
        </w:rPr>
        <w:t xml:space="preserve"> change was announced well before the recent market </w:t>
      </w:r>
      <w:r w:rsidR="002D2397" w:rsidRPr="00CC6D8E">
        <w:rPr>
          <w:sz w:val="24"/>
          <w:szCs w:val="24"/>
        </w:rPr>
        <w:t>volatility</w:t>
      </w:r>
      <w:r w:rsidRPr="00CC6D8E">
        <w:rPr>
          <w:sz w:val="24"/>
          <w:szCs w:val="24"/>
        </w:rPr>
        <w:t>).</w:t>
      </w:r>
      <w:r w:rsidR="00DE6C85" w:rsidRPr="00CC6D8E">
        <w:rPr>
          <w:sz w:val="24"/>
          <w:szCs w:val="24"/>
        </w:rPr>
        <w:t xml:space="preserve"> </w:t>
      </w:r>
      <w:r w:rsidRPr="00CC6D8E">
        <w:rPr>
          <w:sz w:val="24"/>
          <w:szCs w:val="24"/>
        </w:rPr>
        <w:t>That additional</w:t>
      </w:r>
      <w:r w:rsidR="006D45E7" w:rsidRPr="00CC6D8E">
        <w:rPr>
          <w:sz w:val="24"/>
          <w:szCs w:val="24"/>
        </w:rPr>
        <w:t>,</w:t>
      </w:r>
      <w:r w:rsidR="00DE6C85" w:rsidRPr="00CC6D8E">
        <w:rPr>
          <w:sz w:val="24"/>
          <w:szCs w:val="24"/>
        </w:rPr>
        <w:t xml:space="preserve"> </w:t>
      </w:r>
      <w:r w:rsidRPr="00CC6D8E">
        <w:rPr>
          <w:sz w:val="24"/>
          <w:szCs w:val="24"/>
        </w:rPr>
        <w:t xml:space="preserve">regular communication should afford the </w:t>
      </w:r>
      <w:r w:rsidR="00DE6C85" w:rsidRPr="00CC6D8E">
        <w:rPr>
          <w:sz w:val="24"/>
          <w:szCs w:val="24"/>
        </w:rPr>
        <w:t>c</w:t>
      </w:r>
      <w:r w:rsidRPr="00CC6D8E">
        <w:rPr>
          <w:sz w:val="24"/>
          <w:szCs w:val="24"/>
        </w:rPr>
        <w:t xml:space="preserve">hairman the opportunity to communicate more effectively with investors and </w:t>
      </w:r>
      <w:r w:rsidR="000D4BAD" w:rsidRPr="00CC6D8E">
        <w:rPr>
          <w:sz w:val="24"/>
          <w:szCs w:val="24"/>
        </w:rPr>
        <w:t xml:space="preserve">potentially </w:t>
      </w:r>
      <w:r w:rsidRPr="00CC6D8E">
        <w:rPr>
          <w:sz w:val="24"/>
          <w:szCs w:val="24"/>
        </w:rPr>
        <w:t xml:space="preserve">resolve uncertainty regarding Fed policy.  </w:t>
      </w:r>
    </w:p>
    <w:p w14:paraId="4DFB0887" w14:textId="3282FCA9" w:rsidR="00DD4E62" w:rsidRPr="00CC6D8E" w:rsidRDefault="00DD4E62" w:rsidP="00255A78">
      <w:pPr>
        <w:spacing w:after="0" w:line="240" w:lineRule="auto"/>
        <w:rPr>
          <w:sz w:val="24"/>
          <w:szCs w:val="24"/>
        </w:rPr>
      </w:pPr>
    </w:p>
    <w:p w14:paraId="66239C29" w14:textId="4105F22B" w:rsidR="00DD4E62" w:rsidRPr="00CC6D8E" w:rsidRDefault="00DD4E62" w:rsidP="00255A78">
      <w:pPr>
        <w:spacing w:after="0" w:line="240" w:lineRule="auto"/>
        <w:rPr>
          <w:sz w:val="24"/>
          <w:szCs w:val="24"/>
        </w:rPr>
      </w:pPr>
      <w:r w:rsidRPr="00CC6D8E">
        <w:rPr>
          <w:sz w:val="24"/>
          <w:szCs w:val="24"/>
        </w:rPr>
        <w:t>Finally, we begin 2019 with numerous geopolitical situations to watch.</w:t>
      </w:r>
      <w:r w:rsidR="00DE6C85" w:rsidRPr="00CC6D8E">
        <w:rPr>
          <w:sz w:val="24"/>
          <w:szCs w:val="24"/>
        </w:rPr>
        <w:t xml:space="preserve"> </w:t>
      </w:r>
      <w:r w:rsidRPr="00CC6D8E">
        <w:rPr>
          <w:sz w:val="24"/>
          <w:szCs w:val="24"/>
        </w:rPr>
        <w:t>First, the U.S.</w:t>
      </w:r>
      <w:r w:rsidR="00DE6C85" w:rsidRPr="00CC6D8E">
        <w:rPr>
          <w:sz w:val="24"/>
          <w:szCs w:val="24"/>
        </w:rPr>
        <w:t>-</w:t>
      </w:r>
      <w:r w:rsidRPr="00CC6D8E">
        <w:rPr>
          <w:sz w:val="24"/>
          <w:szCs w:val="24"/>
        </w:rPr>
        <w:t xml:space="preserve">China trade talks are ongoing and there remains hope that the two sides will reach an agreement to reduce existing tariffs before the </w:t>
      </w:r>
      <w:r w:rsidR="002D2397" w:rsidRPr="00CC6D8E">
        <w:rPr>
          <w:sz w:val="24"/>
          <w:szCs w:val="24"/>
        </w:rPr>
        <w:t>90-day</w:t>
      </w:r>
      <w:r w:rsidRPr="00CC6D8E">
        <w:rPr>
          <w:sz w:val="24"/>
          <w:szCs w:val="24"/>
        </w:rPr>
        <w:t xml:space="preserve"> negotiation period expires.</w:t>
      </w:r>
      <w:r w:rsidR="00DE6C85" w:rsidRPr="00CC6D8E">
        <w:rPr>
          <w:sz w:val="24"/>
          <w:szCs w:val="24"/>
        </w:rPr>
        <w:t xml:space="preserve"> </w:t>
      </w:r>
      <w:r w:rsidRPr="00CC6D8E">
        <w:rPr>
          <w:sz w:val="24"/>
          <w:szCs w:val="24"/>
        </w:rPr>
        <w:t>In Europe, Brexit remains unsettled</w:t>
      </w:r>
      <w:r w:rsidR="00DE6C85" w:rsidRPr="00CC6D8E">
        <w:rPr>
          <w:sz w:val="24"/>
          <w:szCs w:val="24"/>
        </w:rPr>
        <w:t xml:space="preserve">, </w:t>
      </w:r>
      <w:r w:rsidRPr="00CC6D8E">
        <w:rPr>
          <w:sz w:val="24"/>
          <w:szCs w:val="24"/>
        </w:rPr>
        <w:t xml:space="preserve">although negotiations among </w:t>
      </w:r>
      <w:r w:rsidR="002D2397" w:rsidRPr="00CC6D8E">
        <w:rPr>
          <w:sz w:val="24"/>
          <w:szCs w:val="24"/>
        </w:rPr>
        <w:t>Britain’s</w:t>
      </w:r>
      <w:r w:rsidRPr="00CC6D8E">
        <w:rPr>
          <w:sz w:val="24"/>
          <w:szCs w:val="24"/>
        </w:rPr>
        <w:t xml:space="preserve"> largest political parties continues in an effort to approve the Brexit agreement with Europe.</w:t>
      </w:r>
    </w:p>
    <w:p w14:paraId="5E8BE9FE" w14:textId="389C8F6A" w:rsidR="00DD4E62" w:rsidRPr="00CC6D8E" w:rsidRDefault="00DD4E62" w:rsidP="00255A78">
      <w:pPr>
        <w:spacing w:after="0" w:line="240" w:lineRule="auto"/>
        <w:rPr>
          <w:sz w:val="24"/>
          <w:szCs w:val="24"/>
        </w:rPr>
      </w:pPr>
    </w:p>
    <w:p w14:paraId="69369CB0" w14:textId="07D1CCB3" w:rsidR="00DD4E62" w:rsidRPr="00CC6D8E" w:rsidRDefault="00DD4E62" w:rsidP="00255A78">
      <w:pPr>
        <w:spacing w:after="0" w:line="240" w:lineRule="auto"/>
        <w:rPr>
          <w:sz w:val="24"/>
          <w:szCs w:val="24"/>
        </w:rPr>
      </w:pPr>
      <w:r w:rsidRPr="00CC6D8E">
        <w:rPr>
          <w:sz w:val="24"/>
          <w:szCs w:val="24"/>
        </w:rPr>
        <w:t xml:space="preserve">Bottom line, this is an environment that requires vigilance and </w:t>
      </w:r>
      <w:r w:rsidR="006D45E7" w:rsidRPr="00CC6D8E">
        <w:rPr>
          <w:sz w:val="24"/>
          <w:szCs w:val="24"/>
        </w:rPr>
        <w:t xml:space="preserve">heightened </w:t>
      </w:r>
      <w:r w:rsidRPr="00CC6D8E">
        <w:rPr>
          <w:sz w:val="24"/>
          <w:szCs w:val="24"/>
        </w:rPr>
        <w:t>focus on financial market</w:t>
      </w:r>
      <w:r w:rsidR="006D45E7" w:rsidRPr="00CC6D8E">
        <w:rPr>
          <w:sz w:val="24"/>
          <w:szCs w:val="24"/>
        </w:rPr>
        <w:t xml:space="preserve"> moves</w:t>
      </w:r>
      <w:r w:rsidRPr="00CC6D8E">
        <w:rPr>
          <w:sz w:val="24"/>
          <w:szCs w:val="24"/>
        </w:rPr>
        <w:t xml:space="preserve">, economic news and political </w:t>
      </w:r>
      <w:r w:rsidR="006D45E7" w:rsidRPr="00CC6D8E">
        <w:rPr>
          <w:sz w:val="24"/>
          <w:szCs w:val="24"/>
        </w:rPr>
        <w:t>developments</w:t>
      </w:r>
      <w:r w:rsidRPr="00CC6D8E">
        <w:rPr>
          <w:sz w:val="24"/>
          <w:szCs w:val="24"/>
        </w:rPr>
        <w:t xml:space="preserve">. </w:t>
      </w:r>
    </w:p>
    <w:p w14:paraId="4FF01E31" w14:textId="49C31B89" w:rsidR="00DD4E62" w:rsidRPr="00CC6D8E" w:rsidRDefault="00DD4E62" w:rsidP="00255A78">
      <w:pPr>
        <w:spacing w:after="0" w:line="240" w:lineRule="auto"/>
        <w:rPr>
          <w:sz w:val="24"/>
          <w:szCs w:val="24"/>
        </w:rPr>
      </w:pPr>
    </w:p>
    <w:p w14:paraId="5822D708" w14:textId="16A69A6A" w:rsidR="00DE74B4" w:rsidRPr="00CC6D8E" w:rsidRDefault="00DD4E62" w:rsidP="00255A78">
      <w:pPr>
        <w:spacing w:after="0" w:line="240" w:lineRule="auto"/>
        <w:rPr>
          <w:sz w:val="24"/>
          <w:szCs w:val="24"/>
        </w:rPr>
      </w:pPr>
      <w:bookmarkStart w:id="15" w:name="_Hlk533764852"/>
      <w:r w:rsidRPr="00CC6D8E">
        <w:rPr>
          <w:sz w:val="24"/>
          <w:szCs w:val="24"/>
        </w:rPr>
        <w:t xml:space="preserve">However, while we can expect volatility to </w:t>
      </w:r>
      <w:r w:rsidR="006D45E7" w:rsidRPr="00CC6D8E">
        <w:rPr>
          <w:sz w:val="24"/>
          <w:szCs w:val="24"/>
        </w:rPr>
        <w:t>continue</w:t>
      </w:r>
      <w:r w:rsidRPr="00CC6D8E">
        <w:rPr>
          <w:sz w:val="24"/>
          <w:szCs w:val="24"/>
        </w:rPr>
        <w:t>, especially early in 2019, it’s important to remember that the last two episodes of similar volatility (2011 and 2015) proved to be long</w:t>
      </w:r>
      <w:r w:rsidR="00DE6C85" w:rsidRPr="00CC6D8E">
        <w:rPr>
          <w:sz w:val="24"/>
          <w:szCs w:val="24"/>
        </w:rPr>
        <w:t>-</w:t>
      </w:r>
      <w:r w:rsidRPr="00CC6D8E">
        <w:rPr>
          <w:sz w:val="24"/>
          <w:szCs w:val="24"/>
        </w:rPr>
        <w:t xml:space="preserve">term buying opportunities.  </w:t>
      </w:r>
    </w:p>
    <w:bookmarkEnd w:id="15"/>
    <w:p w14:paraId="5E492C35" w14:textId="77777777" w:rsidR="00DE74B4" w:rsidRPr="00CC6D8E" w:rsidRDefault="00DE74B4" w:rsidP="00255A78">
      <w:pPr>
        <w:spacing w:after="0" w:line="240" w:lineRule="auto"/>
        <w:rPr>
          <w:sz w:val="24"/>
          <w:szCs w:val="24"/>
        </w:rPr>
      </w:pPr>
    </w:p>
    <w:p w14:paraId="2ED14299" w14:textId="2C17B292" w:rsidR="00650F2D" w:rsidRPr="00CC6D8E" w:rsidRDefault="00DD4E62" w:rsidP="00255A78">
      <w:pPr>
        <w:spacing w:after="0" w:line="240" w:lineRule="auto"/>
        <w:rPr>
          <w:sz w:val="24"/>
          <w:szCs w:val="24"/>
        </w:rPr>
      </w:pPr>
      <w:r w:rsidRPr="00CC6D8E">
        <w:rPr>
          <w:sz w:val="24"/>
          <w:szCs w:val="24"/>
        </w:rPr>
        <w:t xml:space="preserve">Past performance is not indicative of future results, </w:t>
      </w:r>
      <w:r w:rsidR="00DE74B4" w:rsidRPr="00CC6D8E">
        <w:rPr>
          <w:sz w:val="24"/>
          <w:szCs w:val="24"/>
        </w:rPr>
        <w:t xml:space="preserve">but history has </w:t>
      </w:r>
      <w:r w:rsidR="000D4BAD" w:rsidRPr="00CC6D8E">
        <w:rPr>
          <w:sz w:val="24"/>
          <w:szCs w:val="24"/>
        </w:rPr>
        <w:t>shown</w:t>
      </w:r>
      <w:r w:rsidR="00DE74B4" w:rsidRPr="00CC6D8E">
        <w:rPr>
          <w:sz w:val="24"/>
          <w:szCs w:val="24"/>
        </w:rPr>
        <w:t xml:space="preserve"> that a long</w:t>
      </w:r>
      <w:r w:rsidR="008D2627" w:rsidRPr="00CC6D8E">
        <w:rPr>
          <w:sz w:val="24"/>
          <w:szCs w:val="24"/>
        </w:rPr>
        <w:t>-</w:t>
      </w:r>
      <w:r w:rsidR="00DE74B4" w:rsidRPr="00CC6D8E">
        <w:rPr>
          <w:sz w:val="24"/>
          <w:szCs w:val="24"/>
        </w:rPr>
        <w:t>term approach combined with a well</w:t>
      </w:r>
      <w:r w:rsidR="00DE6C85" w:rsidRPr="00CC6D8E">
        <w:rPr>
          <w:sz w:val="24"/>
          <w:szCs w:val="24"/>
        </w:rPr>
        <w:t>-</w:t>
      </w:r>
      <w:r w:rsidR="00DE74B4" w:rsidRPr="00CC6D8E">
        <w:rPr>
          <w:sz w:val="24"/>
          <w:szCs w:val="24"/>
        </w:rPr>
        <w:t xml:space="preserve">designed and </w:t>
      </w:r>
      <w:r w:rsidR="00DE6C85" w:rsidRPr="00CC6D8E">
        <w:rPr>
          <w:sz w:val="24"/>
          <w:szCs w:val="24"/>
        </w:rPr>
        <w:t>well-e</w:t>
      </w:r>
      <w:r w:rsidR="00DE74B4" w:rsidRPr="00CC6D8E">
        <w:rPr>
          <w:sz w:val="24"/>
          <w:szCs w:val="24"/>
        </w:rPr>
        <w:t xml:space="preserve">xecuted investment strategy </w:t>
      </w:r>
      <w:r w:rsidR="00B905D9" w:rsidRPr="00CC6D8E">
        <w:rPr>
          <w:sz w:val="24"/>
          <w:szCs w:val="24"/>
        </w:rPr>
        <w:t>can</w:t>
      </w:r>
      <w:r w:rsidR="00DE74B4" w:rsidRPr="00CC6D8E">
        <w:rPr>
          <w:sz w:val="24"/>
          <w:szCs w:val="24"/>
        </w:rPr>
        <w:t xml:space="preserve"> overcome </w:t>
      </w:r>
      <w:r w:rsidR="00BF634E" w:rsidRPr="00CC6D8E">
        <w:rPr>
          <w:sz w:val="24"/>
          <w:szCs w:val="24"/>
        </w:rPr>
        <w:t>periods of heightened</w:t>
      </w:r>
      <w:r w:rsidR="00DE74B4" w:rsidRPr="00CC6D8E">
        <w:rPr>
          <w:sz w:val="24"/>
          <w:szCs w:val="24"/>
        </w:rPr>
        <w:t xml:space="preserve"> volatility, market corrections, and even bear markets.  </w:t>
      </w:r>
    </w:p>
    <w:p w14:paraId="47E4BB88" w14:textId="77777777" w:rsidR="0051369F" w:rsidRPr="00CC6D8E" w:rsidRDefault="0051369F" w:rsidP="00094858">
      <w:pPr>
        <w:spacing w:after="0" w:line="240" w:lineRule="auto"/>
        <w:rPr>
          <w:sz w:val="24"/>
          <w:szCs w:val="24"/>
        </w:rPr>
      </w:pPr>
    </w:p>
    <w:p w14:paraId="622BF66D" w14:textId="0B164C49" w:rsidR="00DE6C85" w:rsidRPr="00CC6D8E" w:rsidRDefault="00B16E5B" w:rsidP="00094858">
      <w:pPr>
        <w:spacing w:after="0" w:line="240" w:lineRule="auto"/>
        <w:rPr>
          <w:sz w:val="24"/>
          <w:szCs w:val="24"/>
        </w:rPr>
      </w:pPr>
      <w:r w:rsidRPr="00CC6D8E">
        <w:rPr>
          <w:sz w:val="24"/>
          <w:szCs w:val="24"/>
        </w:rPr>
        <w:t xml:space="preserve">At </w:t>
      </w:r>
      <w:r w:rsidR="00CC6D8E" w:rsidRPr="00CC6D8E">
        <w:rPr>
          <w:i/>
          <w:sz w:val="24"/>
          <w:szCs w:val="24"/>
        </w:rPr>
        <w:t>Hayes Asset Management, LLC</w:t>
      </w:r>
      <w:r w:rsidR="009E3EBC" w:rsidRPr="00CC6D8E">
        <w:rPr>
          <w:sz w:val="24"/>
          <w:szCs w:val="24"/>
        </w:rPr>
        <w:t xml:space="preserve">, </w:t>
      </w:r>
      <w:r w:rsidR="00DE74B4" w:rsidRPr="00CC6D8E">
        <w:rPr>
          <w:sz w:val="24"/>
          <w:szCs w:val="24"/>
        </w:rPr>
        <w:t xml:space="preserve">we understand the risks facing both the markets and the economy, and we are committed to helping you </w:t>
      </w:r>
      <w:r w:rsidR="006D45E7" w:rsidRPr="00CC6D8E">
        <w:rPr>
          <w:sz w:val="24"/>
          <w:szCs w:val="24"/>
        </w:rPr>
        <w:t xml:space="preserve">effectively </w:t>
      </w:r>
      <w:r w:rsidR="00DE74B4" w:rsidRPr="00CC6D8E">
        <w:rPr>
          <w:sz w:val="24"/>
          <w:szCs w:val="24"/>
        </w:rPr>
        <w:t xml:space="preserve">navigate this challenging </w:t>
      </w:r>
      <w:r w:rsidR="006D45E7" w:rsidRPr="00CC6D8E">
        <w:rPr>
          <w:sz w:val="24"/>
          <w:szCs w:val="24"/>
        </w:rPr>
        <w:t xml:space="preserve">investment </w:t>
      </w:r>
      <w:r w:rsidR="00DE74B4" w:rsidRPr="00CC6D8E">
        <w:rPr>
          <w:sz w:val="24"/>
          <w:szCs w:val="24"/>
        </w:rPr>
        <w:t xml:space="preserve">environment. Successful investing is a marathon, not a sprint, and even intense volatility like we </w:t>
      </w:r>
      <w:r w:rsidR="00BF634E" w:rsidRPr="00CC6D8E">
        <w:rPr>
          <w:sz w:val="24"/>
          <w:szCs w:val="24"/>
        </w:rPr>
        <w:t>experienced</w:t>
      </w:r>
      <w:r w:rsidR="00DE74B4" w:rsidRPr="00CC6D8E">
        <w:rPr>
          <w:sz w:val="24"/>
          <w:szCs w:val="24"/>
        </w:rPr>
        <w:t xml:space="preserve"> in the fourth quarter is unlikely to alter a diversified approach set up to meet your long-term investment goals.  </w:t>
      </w:r>
    </w:p>
    <w:p w14:paraId="5DE7C6F1" w14:textId="77777777" w:rsidR="00DE6C85" w:rsidRPr="00CC6D8E" w:rsidRDefault="00DE6C85" w:rsidP="00094858">
      <w:pPr>
        <w:spacing w:after="0" w:line="240" w:lineRule="auto"/>
        <w:rPr>
          <w:sz w:val="24"/>
          <w:szCs w:val="24"/>
        </w:rPr>
      </w:pPr>
    </w:p>
    <w:p w14:paraId="7386B30E" w14:textId="1EB68A83" w:rsidR="00094858" w:rsidRPr="00CC6D8E" w:rsidRDefault="00DE74B4" w:rsidP="00094858">
      <w:pPr>
        <w:spacing w:after="0" w:line="240" w:lineRule="auto"/>
        <w:rPr>
          <w:sz w:val="24"/>
          <w:szCs w:val="24"/>
        </w:rPr>
      </w:pPr>
      <w:r w:rsidRPr="00CC6D8E">
        <w:rPr>
          <w:sz w:val="24"/>
          <w:szCs w:val="24"/>
        </w:rPr>
        <w:lastRenderedPageBreak/>
        <w:t xml:space="preserve">Therefore, it’s critical for </w:t>
      </w:r>
      <w:r w:rsidR="00DE6C85" w:rsidRPr="00CC6D8E">
        <w:rPr>
          <w:sz w:val="24"/>
          <w:szCs w:val="24"/>
        </w:rPr>
        <w:t xml:space="preserve">you </w:t>
      </w:r>
      <w:r w:rsidRPr="00CC6D8E">
        <w:rPr>
          <w:sz w:val="24"/>
          <w:szCs w:val="24"/>
        </w:rPr>
        <w:t xml:space="preserve">to stay invested, remain patient, and stick to the plan. </w:t>
      </w:r>
      <w:r w:rsidR="00262B00" w:rsidRPr="00CC6D8E">
        <w:rPr>
          <w:sz w:val="24"/>
          <w:szCs w:val="24"/>
        </w:rPr>
        <w:t>W</w:t>
      </w:r>
      <w:r w:rsidR="00094858" w:rsidRPr="00CC6D8E">
        <w:rPr>
          <w:sz w:val="24"/>
          <w:szCs w:val="24"/>
        </w:rPr>
        <w:t>e’ve worked with you to establish a personal allocation target based on your financial position, risk tolerance</w:t>
      </w:r>
      <w:r w:rsidR="00A83533" w:rsidRPr="00CC6D8E">
        <w:rPr>
          <w:sz w:val="24"/>
          <w:szCs w:val="24"/>
        </w:rPr>
        <w:t>,</w:t>
      </w:r>
      <w:r w:rsidR="00094858" w:rsidRPr="00CC6D8E">
        <w:rPr>
          <w:sz w:val="24"/>
          <w:szCs w:val="24"/>
        </w:rPr>
        <w:t xml:space="preserve"> and</w:t>
      </w:r>
      <w:r w:rsidR="0015208B" w:rsidRPr="00CC6D8E">
        <w:rPr>
          <w:sz w:val="24"/>
          <w:szCs w:val="24"/>
        </w:rPr>
        <w:t xml:space="preserve"> investment timeline.</w:t>
      </w:r>
      <w:r w:rsidR="00B16E5B" w:rsidRPr="00CC6D8E">
        <w:rPr>
          <w:sz w:val="24"/>
          <w:szCs w:val="24"/>
        </w:rPr>
        <w:t xml:space="preserve"> </w:t>
      </w:r>
      <w:r w:rsidR="00440E14" w:rsidRPr="00CC6D8E">
        <w:rPr>
          <w:sz w:val="24"/>
          <w:szCs w:val="24"/>
        </w:rPr>
        <w:t>Therefore</w:t>
      </w:r>
      <w:r w:rsidR="00B16E5B" w:rsidRPr="00CC6D8E">
        <w:rPr>
          <w:sz w:val="24"/>
          <w:szCs w:val="24"/>
        </w:rPr>
        <w:t xml:space="preserve">, we </w:t>
      </w:r>
      <w:r w:rsidR="00543A79" w:rsidRPr="00CC6D8E">
        <w:rPr>
          <w:sz w:val="24"/>
          <w:szCs w:val="24"/>
        </w:rPr>
        <w:t xml:space="preserve">aim </w:t>
      </w:r>
      <w:r w:rsidR="00B16E5B" w:rsidRPr="00CC6D8E">
        <w:rPr>
          <w:sz w:val="24"/>
          <w:szCs w:val="24"/>
        </w:rPr>
        <w:t>to</w:t>
      </w:r>
      <w:r w:rsidR="00543A79" w:rsidRPr="00CC6D8E">
        <w:rPr>
          <w:sz w:val="24"/>
          <w:szCs w:val="24"/>
        </w:rPr>
        <w:t xml:space="preserve"> take a </w:t>
      </w:r>
      <w:r w:rsidR="00B16E5B" w:rsidRPr="00CC6D8E">
        <w:rPr>
          <w:sz w:val="24"/>
          <w:szCs w:val="24"/>
        </w:rPr>
        <w:t>diversified</w:t>
      </w:r>
      <w:r w:rsidR="00543A79" w:rsidRPr="00CC6D8E">
        <w:rPr>
          <w:sz w:val="24"/>
          <w:szCs w:val="24"/>
        </w:rPr>
        <w:t xml:space="preserve"> and</w:t>
      </w:r>
      <w:r w:rsidR="00B16E5B" w:rsidRPr="00CC6D8E">
        <w:rPr>
          <w:sz w:val="24"/>
          <w:szCs w:val="24"/>
        </w:rPr>
        <w:t xml:space="preserve"> disciplined</w:t>
      </w:r>
      <w:r w:rsidR="00543A79" w:rsidRPr="00CC6D8E">
        <w:rPr>
          <w:sz w:val="24"/>
          <w:szCs w:val="24"/>
        </w:rPr>
        <w:t xml:space="preserve"> approach</w:t>
      </w:r>
      <w:r w:rsidR="00B16E5B" w:rsidRPr="00CC6D8E">
        <w:rPr>
          <w:sz w:val="24"/>
          <w:szCs w:val="24"/>
        </w:rPr>
        <w:t xml:space="preserve"> </w:t>
      </w:r>
      <w:r w:rsidR="00543A79" w:rsidRPr="00CC6D8E">
        <w:rPr>
          <w:sz w:val="24"/>
          <w:szCs w:val="24"/>
        </w:rPr>
        <w:t xml:space="preserve">with a clear focus </w:t>
      </w:r>
      <w:r w:rsidR="00B16E5B" w:rsidRPr="00CC6D8E">
        <w:rPr>
          <w:sz w:val="24"/>
          <w:szCs w:val="24"/>
        </w:rPr>
        <w:t>on longer-term goals.</w:t>
      </w:r>
    </w:p>
    <w:p w14:paraId="584F7A07" w14:textId="77777777" w:rsidR="009E3EBC" w:rsidRPr="00CC6D8E" w:rsidRDefault="009E3EBC" w:rsidP="009E3EBC">
      <w:pPr>
        <w:spacing w:after="0" w:line="240" w:lineRule="auto"/>
        <w:rPr>
          <w:sz w:val="24"/>
          <w:szCs w:val="24"/>
        </w:rPr>
      </w:pPr>
    </w:p>
    <w:p w14:paraId="5E74B81D" w14:textId="07AC7197" w:rsidR="00DE6C85" w:rsidRPr="00CC6D8E" w:rsidRDefault="00DE74B4" w:rsidP="4E46A3B0">
      <w:pPr>
        <w:spacing w:after="0" w:line="240" w:lineRule="auto"/>
        <w:rPr>
          <w:sz w:val="24"/>
          <w:szCs w:val="24"/>
        </w:rPr>
      </w:pPr>
      <w:r w:rsidRPr="00CC6D8E">
        <w:rPr>
          <w:sz w:val="24"/>
          <w:szCs w:val="24"/>
        </w:rPr>
        <w:t>We understand that volatil</w:t>
      </w:r>
      <w:r w:rsidR="00DE6C85" w:rsidRPr="00CC6D8E">
        <w:rPr>
          <w:sz w:val="24"/>
          <w:szCs w:val="24"/>
        </w:rPr>
        <w:t>e</w:t>
      </w:r>
      <w:r w:rsidRPr="00CC6D8E">
        <w:rPr>
          <w:sz w:val="24"/>
          <w:szCs w:val="24"/>
        </w:rPr>
        <w:t xml:space="preserve"> markets </w:t>
      </w:r>
      <w:r w:rsidR="00DE6C85" w:rsidRPr="00CC6D8E">
        <w:rPr>
          <w:sz w:val="24"/>
          <w:szCs w:val="24"/>
        </w:rPr>
        <w:t xml:space="preserve">are </w:t>
      </w:r>
      <w:r w:rsidRPr="00CC6D8E">
        <w:rPr>
          <w:sz w:val="24"/>
          <w:szCs w:val="24"/>
        </w:rPr>
        <w:t xml:space="preserve">both unnerving and </w:t>
      </w:r>
      <w:r w:rsidR="006D45E7" w:rsidRPr="00CC6D8E">
        <w:rPr>
          <w:sz w:val="24"/>
          <w:szCs w:val="24"/>
        </w:rPr>
        <w:t>stressful</w:t>
      </w:r>
      <w:r w:rsidRPr="00CC6D8E">
        <w:rPr>
          <w:sz w:val="24"/>
          <w:szCs w:val="24"/>
        </w:rPr>
        <w:t>, and we t</w:t>
      </w:r>
      <w:r w:rsidR="4E46A3B0" w:rsidRPr="00CC6D8E">
        <w:rPr>
          <w:sz w:val="24"/>
          <w:szCs w:val="24"/>
        </w:rPr>
        <w:t xml:space="preserve">hank you for your </w:t>
      </w:r>
      <w:r w:rsidR="00543A79" w:rsidRPr="00CC6D8E">
        <w:rPr>
          <w:sz w:val="24"/>
          <w:szCs w:val="24"/>
        </w:rPr>
        <w:t>ongoing</w:t>
      </w:r>
      <w:r w:rsidR="4E46A3B0" w:rsidRPr="00CC6D8E">
        <w:rPr>
          <w:sz w:val="24"/>
          <w:szCs w:val="24"/>
        </w:rPr>
        <w:t xml:space="preserve"> confidence and trust</w:t>
      </w:r>
      <w:r w:rsidR="006D45E7" w:rsidRPr="00CC6D8E">
        <w:rPr>
          <w:sz w:val="24"/>
          <w:szCs w:val="24"/>
        </w:rPr>
        <w:t xml:space="preserve">. Rest assured that </w:t>
      </w:r>
      <w:r w:rsidR="00DE6C85" w:rsidRPr="00CC6D8E">
        <w:rPr>
          <w:sz w:val="24"/>
          <w:szCs w:val="24"/>
        </w:rPr>
        <w:t>our</w:t>
      </w:r>
      <w:r w:rsidR="00E7195A" w:rsidRPr="00CC6D8E">
        <w:rPr>
          <w:sz w:val="24"/>
          <w:szCs w:val="24"/>
        </w:rPr>
        <w:t xml:space="preserve"> entire team </w:t>
      </w:r>
      <w:r w:rsidR="00DE6C85" w:rsidRPr="00CC6D8E">
        <w:rPr>
          <w:sz w:val="24"/>
          <w:szCs w:val="24"/>
        </w:rPr>
        <w:t xml:space="preserve">will </w:t>
      </w:r>
      <w:r w:rsidR="006D45E7" w:rsidRPr="00CC6D8E">
        <w:rPr>
          <w:sz w:val="24"/>
          <w:szCs w:val="24"/>
        </w:rPr>
        <w:t>remain</w:t>
      </w:r>
      <w:r w:rsidR="00DE6C85" w:rsidRPr="00CC6D8E">
        <w:rPr>
          <w:sz w:val="24"/>
          <w:szCs w:val="24"/>
        </w:rPr>
        <w:t xml:space="preserve"> </w:t>
      </w:r>
      <w:r w:rsidR="00E7195A" w:rsidRPr="00CC6D8E">
        <w:rPr>
          <w:sz w:val="24"/>
          <w:szCs w:val="24"/>
        </w:rPr>
        <w:t>dedicated</w:t>
      </w:r>
      <w:r w:rsidRPr="00CC6D8E">
        <w:rPr>
          <w:sz w:val="24"/>
          <w:szCs w:val="24"/>
        </w:rPr>
        <w:t xml:space="preserve"> to helping you</w:t>
      </w:r>
      <w:r w:rsidR="006D45E7" w:rsidRPr="00CC6D8E">
        <w:rPr>
          <w:sz w:val="24"/>
          <w:szCs w:val="24"/>
        </w:rPr>
        <w:t xml:space="preserve"> </w:t>
      </w:r>
      <w:r w:rsidRPr="00CC6D8E">
        <w:rPr>
          <w:sz w:val="24"/>
          <w:szCs w:val="24"/>
        </w:rPr>
        <w:t xml:space="preserve">successfully navigate this </w:t>
      </w:r>
      <w:r w:rsidR="006D45E7" w:rsidRPr="00CC6D8E">
        <w:rPr>
          <w:sz w:val="24"/>
          <w:szCs w:val="24"/>
        </w:rPr>
        <w:t xml:space="preserve">difficult </w:t>
      </w:r>
      <w:r w:rsidRPr="00CC6D8E">
        <w:rPr>
          <w:sz w:val="24"/>
          <w:szCs w:val="24"/>
        </w:rPr>
        <w:t xml:space="preserve">market environment.  </w:t>
      </w:r>
    </w:p>
    <w:p w14:paraId="1CDDE40E" w14:textId="77777777" w:rsidR="00DE6C85" w:rsidRPr="00CC6D8E" w:rsidRDefault="00DE6C85" w:rsidP="4E46A3B0">
      <w:pPr>
        <w:spacing w:after="0" w:line="240" w:lineRule="auto"/>
        <w:rPr>
          <w:sz w:val="24"/>
          <w:szCs w:val="24"/>
        </w:rPr>
      </w:pPr>
    </w:p>
    <w:p w14:paraId="6D30B907" w14:textId="3EC81517" w:rsidR="00094858" w:rsidRPr="00CC6D8E" w:rsidRDefault="4E46A3B0" w:rsidP="4E46A3B0">
      <w:pPr>
        <w:spacing w:after="0" w:line="240" w:lineRule="auto"/>
        <w:rPr>
          <w:sz w:val="24"/>
          <w:szCs w:val="24"/>
          <w:highlight w:val="yellow"/>
        </w:rPr>
      </w:pPr>
      <w:r w:rsidRPr="00CC6D8E">
        <w:rPr>
          <w:sz w:val="24"/>
          <w:szCs w:val="24"/>
        </w:rPr>
        <w:t xml:space="preserve">Please </w:t>
      </w:r>
      <w:r w:rsidR="00E703CF" w:rsidRPr="00CC6D8E">
        <w:rPr>
          <w:sz w:val="24"/>
          <w:szCs w:val="24"/>
        </w:rPr>
        <w:t>do not hesitate</w:t>
      </w:r>
      <w:r w:rsidRPr="00CC6D8E">
        <w:rPr>
          <w:sz w:val="24"/>
          <w:szCs w:val="24"/>
        </w:rPr>
        <w:t xml:space="preserve"> to contact us with any questions, comments, or to schedule a </w:t>
      </w:r>
      <w:r w:rsidR="003D7E51" w:rsidRPr="00CC6D8E">
        <w:rPr>
          <w:sz w:val="24"/>
          <w:szCs w:val="24"/>
        </w:rPr>
        <w:t>portfolio</w:t>
      </w:r>
      <w:r w:rsidRPr="00CC6D8E">
        <w:rPr>
          <w:sz w:val="24"/>
          <w:szCs w:val="24"/>
        </w:rPr>
        <w:t xml:space="preserve"> review.</w:t>
      </w:r>
    </w:p>
    <w:p w14:paraId="1018713A" w14:textId="77777777" w:rsidR="005419F9" w:rsidRPr="00CC6D8E" w:rsidRDefault="005419F9" w:rsidP="4E46A3B0">
      <w:pPr>
        <w:spacing w:after="0" w:line="240" w:lineRule="auto"/>
        <w:rPr>
          <w:sz w:val="24"/>
          <w:szCs w:val="24"/>
          <w:highlight w:val="yellow"/>
        </w:rPr>
      </w:pPr>
    </w:p>
    <w:p w14:paraId="0A57F6C0" w14:textId="0C2CBD3E" w:rsidR="4E46A3B0" w:rsidRPr="00CC6D8E" w:rsidRDefault="4E46A3B0" w:rsidP="4E46A3B0">
      <w:pPr>
        <w:spacing w:after="0" w:line="240" w:lineRule="auto"/>
        <w:rPr>
          <w:sz w:val="24"/>
          <w:szCs w:val="24"/>
        </w:rPr>
      </w:pPr>
      <w:bookmarkStart w:id="16" w:name="_GoBack"/>
      <w:bookmarkEnd w:id="16"/>
    </w:p>
    <w:p w14:paraId="22BA1F84" w14:textId="52C2C579" w:rsidR="4E46A3B0" w:rsidRPr="00CC6D8E" w:rsidRDefault="4E46A3B0" w:rsidP="4E46A3B0">
      <w:pPr>
        <w:spacing w:after="0" w:line="240" w:lineRule="auto"/>
        <w:rPr>
          <w:sz w:val="24"/>
          <w:szCs w:val="24"/>
        </w:rPr>
      </w:pPr>
    </w:p>
    <w:p w14:paraId="151E98B6" w14:textId="636DEC48" w:rsidR="007904DE" w:rsidRPr="00CC6D8E" w:rsidRDefault="007904DE" w:rsidP="4E46A3B0">
      <w:pPr>
        <w:spacing w:after="0" w:line="240" w:lineRule="auto"/>
        <w:rPr>
          <w:sz w:val="24"/>
          <w:szCs w:val="24"/>
        </w:rPr>
      </w:pPr>
    </w:p>
    <w:p w14:paraId="7EB379A8" w14:textId="5537FA89" w:rsidR="007904DE" w:rsidRPr="00CC6D8E" w:rsidRDefault="007904DE" w:rsidP="4E46A3B0">
      <w:pPr>
        <w:spacing w:after="0" w:line="240" w:lineRule="auto"/>
        <w:rPr>
          <w:sz w:val="24"/>
          <w:szCs w:val="24"/>
        </w:rPr>
      </w:pPr>
      <w:r w:rsidRPr="00CC6D8E">
        <w:rPr>
          <w:sz w:val="24"/>
          <w:szCs w:val="24"/>
        </w:rPr>
        <w:tab/>
      </w:r>
    </w:p>
    <w:sectPr w:rsidR="007904DE" w:rsidRPr="00CC6D8E" w:rsidSect="00FB26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12142"/>
    <w:multiLevelType w:val="hybridMultilevel"/>
    <w:tmpl w:val="6E0C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A7"/>
    <w:rsid w:val="000034F8"/>
    <w:rsid w:val="00011290"/>
    <w:rsid w:val="00017EE1"/>
    <w:rsid w:val="00026908"/>
    <w:rsid w:val="00037CEF"/>
    <w:rsid w:val="00037EA3"/>
    <w:rsid w:val="00041B2A"/>
    <w:rsid w:val="00042B70"/>
    <w:rsid w:val="00044011"/>
    <w:rsid w:val="00047D14"/>
    <w:rsid w:val="00052CE5"/>
    <w:rsid w:val="00054DBE"/>
    <w:rsid w:val="0008291A"/>
    <w:rsid w:val="00094858"/>
    <w:rsid w:val="000A2456"/>
    <w:rsid w:val="000A5EC5"/>
    <w:rsid w:val="000B035C"/>
    <w:rsid w:val="000B74EE"/>
    <w:rsid w:val="000D091B"/>
    <w:rsid w:val="000D4BAD"/>
    <w:rsid w:val="000E1E01"/>
    <w:rsid w:val="000F2138"/>
    <w:rsid w:val="000F4BD3"/>
    <w:rsid w:val="000F6576"/>
    <w:rsid w:val="00102719"/>
    <w:rsid w:val="00104183"/>
    <w:rsid w:val="00146E06"/>
    <w:rsid w:val="0015208B"/>
    <w:rsid w:val="00163B56"/>
    <w:rsid w:val="001974DE"/>
    <w:rsid w:val="0019772F"/>
    <w:rsid w:val="001B0CB2"/>
    <w:rsid w:val="001D0A50"/>
    <w:rsid w:val="001D12A1"/>
    <w:rsid w:val="001D2E4E"/>
    <w:rsid w:val="001E2BF9"/>
    <w:rsid w:val="001F48FA"/>
    <w:rsid w:val="00201F04"/>
    <w:rsid w:val="00202C72"/>
    <w:rsid w:val="00206C36"/>
    <w:rsid w:val="00211B11"/>
    <w:rsid w:val="00213518"/>
    <w:rsid w:val="00230E4D"/>
    <w:rsid w:val="00232BD2"/>
    <w:rsid w:val="002435DA"/>
    <w:rsid w:val="002528FF"/>
    <w:rsid w:val="00254105"/>
    <w:rsid w:val="0025431E"/>
    <w:rsid w:val="00254403"/>
    <w:rsid w:val="00255A78"/>
    <w:rsid w:val="00260599"/>
    <w:rsid w:val="00262B00"/>
    <w:rsid w:val="00263D78"/>
    <w:rsid w:val="002675DC"/>
    <w:rsid w:val="00270490"/>
    <w:rsid w:val="00276C91"/>
    <w:rsid w:val="0027713A"/>
    <w:rsid w:val="0027782D"/>
    <w:rsid w:val="0028474A"/>
    <w:rsid w:val="00284CA4"/>
    <w:rsid w:val="00293879"/>
    <w:rsid w:val="00296FAF"/>
    <w:rsid w:val="002A1EF6"/>
    <w:rsid w:val="002C06B8"/>
    <w:rsid w:val="002D004F"/>
    <w:rsid w:val="002D017C"/>
    <w:rsid w:val="002D2397"/>
    <w:rsid w:val="002F28C3"/>
    <w:rsid w:val="002F45AD"/>
    <w:rsid w:val="003206C7"/>
    <w:rsid w:val="003325E7"/>
    <w:rsid w:val="00343E9D"/>
    <w:rsid w:val="00361C08"/>
    <w:rsid w:val="00375C59"/>
    <w:rsid w:val="00381A76"/>
    <w:rsid w:val="003824CF"/>
    <w:rsid w:val="003913AA"/>
    <w:rsid w:val="00394F7D"/>
    <w:rsid w:val="00395410"/>
    <w:rsid w:val="00397170"/>
    <w:rsid w:val="003A4C36"/>
    <w:rsid w:val="003C0051"/>
    <w:rsid w:val="003C0AB8"/>
    <w:rsid w:val="003C2ACD"/>
    <w:rsid w:val="003D13B9"/>
    <w:rsid w:val="003D7E51"/>
    <w:rsid w:val="003D7EC4"/>
    <w:rsid w:val="003E236C"/>
    <w:rsid w:val="003E3C4F"/>
    <w:rsid w:val="003E6166"/>
    <w:rsid w:val="003F3B82"/>
    <w:rsid w:val="00407A43"/>
    <w:rsid w:val="004131F0"/>
    <w:rsid w:val="00413839"/>
    <w:rsid w:val="00424FC2"/>
    <w:rsid w:val="004408FA"/>
    <w:rsid w:val="00440E14"/>
    <w:rsid w:val="00451C7E"/>
    <w:rsid w:val="0045682A"/>
    <w:rsid w:val="0046469C"/>
    <w:rsid w:val="00473DA6"/>
    <w:rsid w:val="0047463F"/>
    <w:rsid w:val="00483C36"/>
    <w:rsid w:val="00487611"/>
    <w:rsid w:val="00487898"/>
    <w:rsid w:val="00493EC6"/>
    <w:rsid w:val="00497F76"/>
    <w:rsid w:val="004A0987"/>
    <w:rsid w:val="004A7952"/>
    <w:rsid w:val="004B048A"/>
    <w:rsid w:val="004B2211"/>
    <w:rsid w:val="004C5040"/>
    <w:rsid w:val="004D2CD9"/>
    <w:rsid w:val="004D7190"/>
    <w:rsid w:val="004E209D"/>
    <w:rsid w:val="004E60D8"/>
    <w:rsid w:val="004F46A1"/>
    <w:rsid w:val="005017C8"/>
    <w:rsid w:val="00503F6F"/>
    <w:rsid w:val="0051369F"/>
    <w:rsid w:val="0051384A"/>
    <w:rsid w:val="00514A7C"/>
    <w:rsid w:val="00524658"/>
    <w:rsid w:val="005419F9"/>
    <w:rsid w:val="00543A79"/>
    <w:rsid w:val="0055613A"/>
    <w:rsid w:val="005630EA"/>
    <w:rsid w:val="00563540"/>
    <w:rsid w:val="00580FB0"/>
    <w:rsid w:val="00581DB4"/>
    <w:rsid w:val="0058385C"/>
    <w:rsid w:val="005878F4"/>
    <w:rsid w:val="005879A7"/>
    <w:rsid w:val="00587A86"/>
    <w:rsid w:val="005A13BB"/>
    <w:rsid w:val="005A7BCD"/>
    <w:rsid w:val="005D06DB"/>
    <w:rsid w:val="005D0A6F"/>
    <w:rsid w:val="005F0432"/>
    <w:rsid w:val="00616625"/>
    <w:rsid w:val="006237E1"/>
    <w:rsid w:val="0063153C"/>
    <w:rsid w:val="006352E1"/>
    <w:rsid w:val="00637BEC"/>
    <w:rsid w:val="0064059F"/>
    <w:rsid w:val="00641DFD"/>
    <w:rsid w:val="00642167"/>
    <w:rsid w:val="006462BD"/>
    <w:rsid w:val="00650F2D"/>
    <w:rsid w:val="0065437A"/>
    <w:rsid w:val="006718D1"/>
    <w:rsid w:val="0067457F"/>
    <w:rsid w:val="00674868"/>
    <w:rsid w:val="006833B9"/>
    <w:rsid w:val="00693A3F"/>
    <w:rsid w:val="0069663E"/>
    <w:rsid w:val="006A4C3F"/>
    <w:rsid w:val="006A5A6F"/>
    <w:rsid w:val="006A5B2D"/>
    <w:rsid w:val="006A79A2"/>
    <w:rsid w:val="006B042B"/>
    <w:rsid w:val="006B2974"/>
    <w:rsid w:val="006C60AC"/>
    <w:rsid w:val="006D3FA8"/>
    <w:rsid w:val="006D45E7"/>
    <w:rsid w:val="006F2535"/>
    <w:rsid w:val="006F6BF6"/>
    <w:rsid w:val="007067D3"/>
    <w:rsid w:val="00735AEE"/>
    <w:rsid w:val="00747C8A"/>
    <w:rsid w:val="007530C1"/>
    <w:rsid w:val="0076340E"/>
    <w:rsid w:val="007706FD"/>
    <w:rsid w:val="007713DA"/>
    <w:rsid w:val="00771AC1"/>
    <w:rsid w:val="007904DE"/>
    <w:rsid w:val="007929B5"/>
    <w:rsid w:val="007A6A3D"/>
    <w:rsid w:val="007B2906"/>
    <w:rsid w:val="007B3650"/>
    <w:rsid w:val="007B519C"/>
    <w:rsid w:val="007C6579"/>
    <w:rsid w:val="007D04AB"/>
    <w:rsid w:val="007D66A5"/>
    <w:rsid w:val="007E1E2D"/>
    <w:rsid w:val="007E3197"/>
    <w:rsid w:val="007E6F31"/>
    <w:rsid w:val="007E6F3C"/>
    <w:rsid w:val="007F085E"/>
    <w:rsid w:val="007F279F"/>
    <w:rsid w:val="007F7FB4"/>
    <w:rsid w:val="008240A0"/>
    <w:rsid w:val="00827E1A"/>
    <w:rsid w:val="00830DC1"/>
    <w:rsid w:val="00832F5A"/>
    <w:rsid w:val="008342E5"/>
    <w:rsid w:val="008349A2"/>
    <w:rsid w:val="00843BBB"/>
    <w:rsid w:val="008506B6"/>
    <w:rsid w:val="00853A59"/>
    <w:rsid w:val="0087366E"/>
    <w:rsid w:val="00873B5F"/>
    <w:rsid w:val="00880FFE"/>
    <w:rsid w:val="008A3AAC"/>
    <w:rsid w:val="008B2FB1"/>
    <w:rsid w:val="008C227C"/>
    <w:rsid w:val="008C7DAC"/>
    <w:rsid w:val="008D2627"/>
    <w:rsid w:val="008D4AF5"/>
    <w:rsid w:val="008F0DF8"/>
    <w:rsid w:val="008F4EA0"/>
    <w:rsid w:val="00905E73"/>
    <w:rsid w:val="00912D4D"/>
    <w:rsid w:val="0092395C"/>
    <w:rsid w:val="00937537"/>
    <w:rsid w:val="009443A1"/>
    <w:rsid w:val="00946F38"/>
    <w:rsid w:val="009603D1"/>
    <w:rsid w:val="0096758F"/>
    <w:rsid w:val="00984EEE"/>
    <w:rsid w:val="00986F69"/>
    <w:rsid w:val="00993745"/>
    <w:rsid w:val="0099658B"/>
    <w:rsid w:val="009A492E"/>
    <w:rsid w:val="009D6FB4"/>
    <w:rsid w:val="009E0D0F"/>
    <w:rsid w:val="009E3EBC"/>
    <w:rsid w:val="009E48FA"/>
    <w:rsid w:val="009F4054"/>
    <w:rsid w:val="009F6D20"/>
    <w:rsid w:val="00A451DF"/>
    <w:rsid w:val="00A45C00"/>
    <w:rsid w:val="00A460E4"/>
    <w:rsid w:val="00A559CE"/>
    <w:rsid w:val="00A57692"/>
    <w:rsid w:val="00A63BF8"/>
    <w:rsid w:val="00A70BA7"/>
    <w:rsid w:val="00A76F18"/>
    <w:rsid w:val="00A770C6"/>
    <w:rsid w:val="00A779EF"/>
    <w:rsid w:val="00A80CCB"/>
    <w:rsid w:val="00A83533"/>
    <w:rsid w:val="00A91C26"/>
    <w:rsid w:val="00A91FB3"/>
    <w:rsid w:val="00A9428A"/>
    <w:rsid w:val="00AC4164"/>
    <w:rsid w:val="00AD057E"/>
    <w:rsid w:val="00AE507F"/>
    <w:rsid w:val="00B01B21"/>
    <w:rsid w:val="00B16E5B"/>
    <w:rsid w:val="00B373FE"/>
    <w:rsid w:val="00B86C75"/>
    <w:rsid w:val="00B905D9"/>
    <w:rsid w:val="00B93F71"/>
    <w:rsid w:val="00BA3BBF"/>
    <w:rsid w:val="00BB2D73"/>
    <w:rsid w:val="00BC083A"/>
    <w:rsid w:val="00BC576A"/>
    <w:rsid w:val="00BC587D"/>
    <w:rsid w:val="00BD15AD"/>
    <w:rsid w:val="00BD2E71"/>
    <w:rsid w:val="00BD5103"/>
    <w:rsid w:val="00BE17EC"/>
    <w:rsid w:val="00BF634E"/>
    <w:rsid w:val="00BF6FBD"/>
    <w:rsid w:val="00C10E25"/>
    <w:rsid w:val="00C16155"/>
    <w:rsid w:val="00C27CA6"/>
    <w:rsid w:val="00C3442E"/>
    <w:rsid w:val="00C36205"/>
    <w:rsid w:val="00C3628F"/>
    <w:rsid w:val="00C42583"/>
    <w:rsid w:val="00C4747F"/>
    <w:rsid w:val="00C74F17"/>
    <w:rsid w:val="00C838A6"/>
    <w:rsid w:val="00C878A7"/>
    <w:rsid w:val="00C96CA1"/>
    <w:rsid w:val="00CA3577"/>
    <w:rsid w:val="00CC6D8E"/>
    <w:rsid w:val="00CF768D"/>
    <w:rsid w:val="00D04E06"/>
    <w:rsid w:val="00D23967"/>
    <w:rsid w:val="00D307B1"/>
    <w:rsid w:val="00D35C5A"/>
    <w:rsid w:val="00D42DA2"/>
    <w:rsid w:val="00D44957"/>
    <w:rsid w:val="00D50C74"/>
    <w:rsid w:val="00D52DA7"/>
    <w:rsid w:val="00D66F59"/>
    <w:rsid w:val="00D70AE3"/>
    <w:rsid w:val="00D71043"/>
    <w:rsid w:val="00D85484"/>
    <w:rsid w:val="00D93CB5"/>
    <w:rsid w:val="00DA2A65"/>
    <w:rsid w:val="00DA7B08"/>
    <w:rsid w:val="00DB42D2"/>
    <w:rsid w:val="00DC2B37"/>
    <w:rsid w:val="00DC3926"/>
    <w:rsid w:val="00DD4E62"/>
    <w:rsid w:val="00DD6C8D"/>
    <w:rsid w:val="00DE0864"/>
    <w:rsid w:val="00DE6C85"/>
    <w:rsid w:val="00DE74B4"/>
    <w:rsid w:val="00DF07B3"/>
    <w:rsid w:val="00DF63E6"/>
    <w:rsid w:val="00E029FD"/>
    <w:rsid w:val="00E02CDF"/>
    <w:rsid w:val="00E33477"/>
    <w:rsid w:val="00E40CBB"/>
    <w:rsid w:val="00E441F8"/>
    <w:rsid w:val="00E5216F"/>
    <w:rsid w:val="00E53ECB"/>
    <w:rsid w:val="00E56CBB"/>
    <w:rsid w:val="00E64A45"/>
    <w:rsid w:val="00E703CF"/>
    <w:rsid w:val="00E7195A"/>
    <w:rsid w:val="00E7666D"/>
    <w:rsid w:val="00E76B13"/>
    <w:rsid w:val="00E839E1"/>
    <w:rsid w:val="00E83BCB"/>
    <w:rsid w:val="00E961E1"/>
    <w:rsid w:val="00EB3B65"/>
    <w:rsid w:val="00EB4D02"/>
    <w:rsid w:val="00EC7264"/>
    <w:rsid w:val="00ED11E6"/>
    <w:rsid w:val="00EE1DD8"/>
    <w:rsid w:val="00EE3806"/>
    <w:rsid w:val="00EF3C8E"/>
    <w:rsid w:val="00EF5A78"/>
    <w:rsid w:val="00F07630"/>
    <w:rsid w:val="00F147B6"/>
    <w:rsid w:val="00F21FC5"/>
    <w:rsid w:val="00F32918"/>
    <w:rsid w:val="00F37B2C"/>
    <w:rsid w:val="00F400DA"/>
    <w:rsid w:val="00F446E8"/>
    <w:rsid w:val="00F5425F"/>
    <w:rsid w:val="00F54787"/>
    <w:rsid w:val="00F6186C"/>
    <w:rsid w:val="00F639C3"/>
    <w:rsid w:val="00F660C1"/>
    <w:rsid w:val="00F71648"/>
    <w:rsid w:val="00F72E7D"/>
    <w:rsid w:val="00F803F1"/>
    <w:rsid w:val="00F85183"/>
    <w:rsid w:val="00F864ED"/>
    <w:rsid w:val="00F9584A"/>
    <w:rsid w:val="00FA4766"/>
    <w:rsid w:val="00FB26BC"/>
    <w:rsid w:val="00FD3D6C"/>
    <w:rsid w:val="00FD6ECB"/>
    <w:rsid w:val="00FE3552"/>
    <w:rsid w:val="00FE64FE"/>
    <w:rsid w:val="00FF4813"/>
    <w:rsid w:val="4E46A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7A07"/>
  <w15:chartTrackingRefBased/>
  <w15:docId w15:val="{1B0FB579-0A72-45EC-A3ED-8A5A93A7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6D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6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4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9A2"/>
    <w:rPr>
      <w:rFonts w:ascii="Segoe UI" w:hAnsi="Segoe UI" w:cs="Segoe UI"/>
      <w:sz w:val="18"/>
      <w:szCs w:val="18"/>
    </w:rPr>
  </w:style>
  <w:style w:type="paragraph" w:styleId="ListParagraph">
    <w:name w:val="List Paragraph"/>
    <w:basedOn w:val="Normal"/>
    <w:uiPriority w:val="34"/>
    <w:qFormat/>
    <w:rsid w:val="00497F76"/>
    <w:pPr>
      <w:ind w:left="720"/>
      <w:contextualSpacing/>
    </w:pPr>
  </w:style>
  <w:style w:type="paragraph" w:styleId="NoSpacing">
    <w:name w:val="No Spacing"/>
    <w:uiPriority w:val="1"/>
    <w:qFormat/>
    <w:rsid w:val="00CC6D8E"/>
    <w:pPr>
      <w:spacing w:after="0" w:line="240" w:lineRule="auto"/>
    </w:pPr>
  </w:style>
  <w:style w:type="character" w:customStyle="1" w:styleId="Heading1Char">
    <w:name w:val="Heading 1 Char"/>
    <w:basedOn w:val="DefaultParagraphFont"/>
    <w:link w:val="Heading1"/>
    <w:uiPriority w:val="9"/>
    <w:rsid w:val="00CC6D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6D8E"/>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0F213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6404">
      <w:bodyDiv w:val="1"/>
      <w:marLeft w:val="0"/>
      <w:marRight w:val="0"/>
      <w:marTop w:val="0"/>
      <w:marBottom w:val="0"/>
      <w:divBdr>
        <w:top w:val="none" w:sz="0" w:space="0" w:color="auto"/>
        <w:left w:val="none" w:sz="0" w:space="0" w:color="auto"/>
        <w:bottom w:val="none" w:sz="0" w:space="0" w:color="auto"/>
        <w:right w:val="none" w:sz="0" w:space="0" w:color="auto"/>
      </w:divBdr>
    </w:div>
    <w:div w:id="169419557">
      <w:bodyDiv w:val="1"/>
      <w:marLeft w:val="0"/>
      <w:marRight w:val="0"/>
      <w:marTop w:val="0"/>
      <w:marBottom w:val="0"/>
      <w:divBdr>
        <w:top w:val="none" w:sz="0" w:space="0" w:color="auto"/>
        <w:left w:val="none" w:sz="0" w:space="0" w:color="auto"/>
        <w:bottom w:val="none" w:sz="0" w:space="0" w:color="auto"/>
        <w:right w:val="none" w:sz="0" w:space="0" w:color="auto"/>
      </w:divBdr>
    </w:div>
    <w:div w:id="290870281">
      <w:bodyDiv w:val="1"/>
      <w:marLeft w:val="0"/>
      <w:marRight w:val="0"/>
      <w:marTop w:val="0"/>
      <w:marBottom w:val="0"/>
      <w:divBdr>
        <w:top w:val="none" w:sz="0" w:space="0" w:color="auto"/>
        <w:left w:val="none" w:sz="0" w:space="0" w:color="auto"/>
        <w:bottom w:val="none" w:sz="0" w:space="0" w:color="auto"/>
        <w:right w:val="none" w:sz="0" w:space="0" w:color="auto"/>
      </w:divBdr>
    </w:div>
    <w:div w:id="299649920">
      <w:bodyDiv w:val="1"/>
      <w:marLeft w:val="0"/>
      <w:marRight w:val="0"/>
      <w:marTop w:val="0"/>
      <w:marBottom w:val="0"/>
      <w:divBdr>
        <w:top w:val="none" w:sz="0" w:space="0" w:color="auto"/>
        <w:left w:val="none" w:sz="0" w:space="0" w:color="auto"/>
        <w:bottom w:val="none" w:sz="0" w:space="0" w:color="auto"/>
        <w:right w:val="none" w:sz="0" w:space="0" w:color="auto"/>
      </w:divBdr>
    </w:div>
    <w:div w:id="395781392">
      <w:bodyDiv w:val="1"/>
      <w:marLeft w:val="0"/>
      <w:marRight w:val="0"/>
      <w:marTop w:val="0"/>
      <w:marBottom w:val="0"/>
      <w:divBdr>
        <w:top w:val="none" w:sz="0" w:space="0" w:color="auto"/>
        <w:left w:val="none" w:sz="0" w:space="0" w:color="auto"/>
        <w:bottom w:val="none" w:sz="0" w:space="0" w:color="auto"/>
        <w:right w:val="none" w:sz="0" w:space="0" w:color="auto"/>
      </w:divBdr>
    </w:div>
    <w:div w:id="421219398">
      <w:bodyDiv w:val="1"/>
      <w:marLeft w:val="0"/>
      <w:marRight w:val="0"/>
      <w:marTop w:val="0"/>
      <w:marBottom w:val="0"/>
      <w:divBdr>
        <w:top w:val="none" w:sz="0" w:space="0" w:color="auto"/>
        <w:left w:val="none" w:sz="0" w:space="0" w:color="auto"/>
        <w:bottom w:val="none" w:sz="0" w:space="0" w:color="auto"/>
        <w:right w:val="none" w:sz="0" w:space="0" w:color="auto"/>
      </w:divBdr>
    </w:div>
    <w:div w:id="435758197">
      <w:bodyDiv w:val="1"/>
      <w:marLeft w:val="0"/>
      <w:marRight w:val="0"/>
      <w:marTop w:val="0"/>
      <w:marBottom w:val="0"/>
      <w:divBdr>
        <w:top w:val="none" w:sz="0" w:space="0" w:color="auto"/>
        <w:left w:val="none" w:sz="0" w:space="0" w:color="auto"/>
        <w:bottom w:val="none" w:sz="0" w:space="0" w:color="auto"/>
        <w:right w:val="none" w:sz="0" w:space="0" w:color="auto"/>
      </w:divBdr>
    </w:div>
    <w:div w:id="502741925">
      <w:bodyDiv w:val="1"/>
      <w:marLeft w:val="0"/>
      <w:marRight w:val="0"/>
      <w:marTop w:val="0"/>
      <w:marBottom w:val="0"/>
      <w:divBdr>
        <w:top w:val="none" w:sz="0" w:space="0" w:color="auto"/>
        <w:left w:val="none" w:sz="0" w:space="0" w:color="auto"/>
        <w:bottom w:val="none" w:sz="0" w:space="0" w:color="auto"/>
        <w:right w:val="none" w:sz="0" w:space="0" w:color="auto"/>
      </w:divBdr>
    </w:div>
    <w:div w:id="617225862">
      <w:bodyDiv w:val="1"/>
      <w:marLeft w:val="0"/>
      <w:marRight w:val="0"/>
      <w:marTop w:val="0"/>
      <w:marBottom w:val="0"/>
      <w:divBdr>
        <w:top w:val="none" w:sz="0" w:space="0" w:color="auto"/>
        <w:left w:val="none" w:sz="0" w:space="0" w:color="auto"/>
        <w:bottom w:val="none" w:sz="0" w:space="0" w:color="auto"/>
        <w:right w:val="none" w:sz="0" w:space="0" w:color="auto"/>
      </w:divBdr>
    </w:div>
    <w:div w:id="662661245">
      <w:bodyDiv w:val="1"/>
      <w:marLeft w:val="0"/>
      <w:marRight w:val="0"/>
      <w:marTop w:val="0"/>
      <w:marBottom w:val="0"/>
      <w:divBdr>
        <w:top w:val="none" w:sz="0" w:space="0" w:color="auto"/>
        <w:left w:val="none" w:sz="0" w:space="0" w:color="auto"/>
        <w:bottom w:val="none" w:sz="0" w:space="0" w:color="auto"/>
        <w:right w:val="none" w:sz="0" w:space="0" w:color="auto"/>
      </w:divBdr>
    </w:div>
    <w:div w:id="812139644">
      <w:bodyDiv w:val="1"/>
      <w:marLeft w:val="0"/>
      <w:marRight w:val="0"/>
      <w:marTop w:val="0"/>
      <w:marBottom w:val="0"/>
      <w:divBdr>
        <w:top w:val="none" w:sz="0" w:space="0" w:color="auto"/>
        <w:left w:val="none" w:sz="0" w:space="0" w:color="auto"/>
        <w:bottom w:val="none" w:sz="0" w:space="0" w:color="auto"/>
        <w:right w:val="none" w:sz="0" w:space="0" w:color="auto"/>
      </w:divBdr>
    </w:div>
    <w:div w:id="858003343">
      <w:bodyDiv w:val="1"/>
      <w:marLeft w:val="0"/>
      <w:marRight w:val="0"/>
      <w:marTop w:val="0"/>
      <w:marBottom w:val="0"/>
      <w:divBdr>
        <w:top w:val="none" w:sz="0" w:space="0" w:color="auto"/>
        <w:left w:val="none" w:sz="0" w:space="0" w:color="auto"/>
        <w:bottom w:val="none" w:sz="0" w:space="0" w:color="auto"/>
        <w:right w:val="none" w:sz="0" w:space="0" w:color="auto"/>
      </w:divBdr>
    </w:div>
    <w:div w:id="863054334">
      <w:bodyDiv w:val="1"/>
      <w:marLeft w:val="0"/>
      <w:marRight w:val="0"/>
      <w:marTop w:val="0"/>
      <w:marBottom w:val="0"/>
      <w:divBdr>
        <w:top w:val="none" w:sz="0" w:space="0" w:color="auto"/>
        <w:left w:val="none" w:sz="0" w:space="0" w:color="auto"/>
        <w:bottom w:val="none" w:sz="0" w:space="0" w:color="auto"/>
        <w:right w:val="none" w:sz="0" w:space="0" w:color="auto"/>
      </w:divBdr>
    </w:div>
    <w:div w:id="977995227">
      <w:bodyDiv w:val="1"/>
      <w:marLeft w:val="0"/>
      <w:marRight w:val="0"/>
      <w:marTop w:val="0"/>
      <w:marBottom w:val="0"/>
      <w:divBdr>
        <w:top w:val="none" w:sz="0" w:space="0" w:color="auto"/>
        <w:left w:val="none" w:sz="0" w:space="0" w:color="auto"/>
        <w:bottom w:val="none" w:sz="0" w:space="0" w:color="auto"/>
        <w:right w:val="none" w:sz="0" w:space="0" w:color="auto"/>
      </w:divBdr>
    </w:div>
    <w:div w:id="1000045589">
      <w:bodyDiv w:val="1"/>
      <w:marLeft w:val="0"/>
      <w:marRight w:val="0"/>
      <w:marTop w:val="0"/>
      <w:marBottom w:val="0"/>
      <w:divBdr>
        <w:top w:val="none" w:sz="0" w:space="0" w:color="auto"/>
        <w:left w:val="none" w:sz="0" w:space="0" w:color="auto"/>
        <w:bottom w:val="none" w:sz="0" w:space="0" w:color="auto"/>
        <w:right w:val="none" w:sz="0" w:space="0" w:color="auto"/>
      </w:divBdr>
    </w:div>
    <w:div w:id="1030181028">
      <w:bodyDiv w:val="1"/>
      <w:marLeft w:val="0"/>
      <w:marRight w:val="0"/>
      <w:marTop w:val="0"/>
      <w:marBottom w:val="0"/>
      <w:divBdr>
        <w:top w:val="none" w:sz="0" w:space="0" w:color="auto"/>
        <w:left w:val="none" w:sz="0" w:space="0" w:color="auto"/>
        <w:bottom w:val="none" w:sz="0" w:space="0" w:color="auto"/>
        <w:right w:val="none" w:sz="0" w:space="0" w:color="auto"/>
      </w:divBdr>
    </w:div>
    <w:div w:id="1106344506">
      <w:bodyDiv w:val="1"/>
      <w:marLeft w:val="0"/>
      <w:marRight w:val="0"/>
      <w:marTop w:val="0"/>
      <w:marBottom w:val="0"/>
      <w:divBdr>
        <w:top w:val="none" w:sz="0" w:space="0" w:color="auto"/>
        <w:left w:val="none" w:sz="0" w:space="0" w:color="auto"/>
        <w:bottom w:val="none" w:sz="0" w:space="0" w:color="auto"/>
        <w:right w:val="none" w:sz="0" w:space="0" w:color="auto"/>
      </w:divBdr>
    </w:div>
    <w:div w:id="1187794089">
      <w:bodyDiv w:val="1"/>
      <w:marLeft w:val="0"/>
      <w:marRight w:val="0"/>
      <w:marTop w:val="0"/>
      <w:marBottom w:val="0"/>
      <w:divBdr>
        <w:top w:val="none" w:sz="0" w:space="0" w:color="auto"/>
        <w:left w:val="none" w:sz="0" w:space="0" w:color="auto"/>
        <w:bottom w:val="none" w:sz="0" w:space="0" w:color="auto"/>
        <w:right w:val="none" w:sz="0" w:space="0" w:color="auto"/>
      </w:divBdr>
    </w:div>
    <w:div w:id="1270165071">
      <w:bodyDiv w:val="1"/>
      <w:marLeft w:val="0"/>
      <w:marRight w:val="0"/>
      <w:marTop w:val="0"/>
      <w:marBottom w:val="0"/>
      <w:divBdr>
        <w:top w:val="none" w:sz="0" w:space="0" w:color="auto"/>
        <w:left w:val="none" w:sz="0" w:space="0" w:color="auto"/>
        <w:bottom w:val="none" w:sz="0" w:space="0" w:color="auto"/>
        <w:right w:val="none" w:sz="0" w:space="0" w:color="auto"/>
      </w:divBdr>
    </w:div>
    <w:div w:id="1273636520">
      <w:bodyDiv w:val="1"/>
      <w:marLeft w:val="0"/>
      <w:marRight w:val="0"/>
      <w:marTop w:val="0"/>
      <w:marBottom w:val="0"/>
      <w:divBdr>
        <w:top w:val="none" w:sz="0" w:space="0" w:color="auto"/>
        <w:left w:val="none" w:sz="0" w:space="0" w:color="auto"/>
        <w:bottom w:val="none" w:sz="0" w:space="0" w:color="auto"/>
        <w:right w:val="none" w:sz="0" w:space="0" w:color="auto"/>
      </w:divBdr>
    </w:div>
    <w:div w:id="1280070080">
      <w:bodyDiv w:val="1"/>
      <w:marLeft w:val="0"/>
      <w:marRight w:val="0"/>
      <w:marTop w:val="0"/>
      <w:marBottom w:val="0"/>
      <w:divBdr>
        <w:top w:val="none" w:sz="0" w:space="0" w:color="auto"/>
        <w:left w:val="none" w:sz="0" w:space="0" w:color="auto"/>
        <w:bottom w:val="none" w:sz="0" w:space="0" w:color="auto"/>
        <w:right w:val="none" w:sz="0" w:space="0" w:color="auto"/>
      </w:divBdr>
    </w:div>
    <w:div w:id="1384066035">
      <w:bodyDiv w:val="1"/>
      <w:marLeft w:val="0"/>
      <w:marRight w:val="0"/>
      <w:marTop w:val="0"/>
      <w:marBottom w:val="0"/>
      <w:divBdr>
        <w:top w:val="none" w:sz="0" w:space="0" w:color="auto"/>
        <w:left w:val="none" w:sz="0" w:space="0" w:color="auto"/>
        <w:bottom w:val="none" w:sz="0" w:space="0" w:color="auto"/>
        <w:right w:val="none" w:sz="0" w:space="0" w:color="auto"/>
      </w:divBdr>
    </w:div>
    <w:div w:id="1489638320">
      <w:bodyDiv w:val="1"/>
      <w:marLeft w:val="0"/>
      <w:marRight w:val="0"/>
      <w:marTop w:val="0"/>
      <w:marBottom w:val="0"/>
      <w:divBdr>
        <w:top w:val="none" w:sz="0" w:space="0" w:color="auto"/>
        <w:left w:val="none" w:sz="0" w:space="0" w:color="auto"/>
        <w:bottom w:val="none" w:sz="0" w:space="0" w:color="auto"/>
        <w:right w:val="none" w:sz="0" w:space="0" w:color="auto"/>
      </w:divBdr>
    </w:div>
    <w:div w:id="1505631342">
      <w:bodyDiv w:val="1"/>
      <w:marLeft w:val="0"/>
      <w:marRight w:val="0"/>
      <w:marTop w:val="0"/>
      <w:marBottom w:val="0"/>
      <w:divBdr>
        <w:top w:val="none" w:sz="0" w:space="0" w:color="auto"/>
        <w:left w:val="none" w:sz="0" w:space="0" w:color="auto"/>
        <w:bottom w:val="none" w:sz="0" w:space="0" w:color="auto"/>
        <w:right w:val="none" w:sz="0" w:space="0" w:color="auto"/>
      </w:divBdr>
    </w:div>
    <w:div w:id="1512330952">
      <w:bodyDiv w:val="1"/>
      <w:marLeft w:val="0"/>
      <w:marRight w:val="0"/>
      <w:marTop w:val="0"/>
      <w:marBottom w:val="0"/>
      <w:divBdr>
        <w:top w:val="none" w:sz="0" w:space="0" w:color="auto"/>
        <w:left w:val="none" w:sz="0" w:space="0" w:color="auto"/>
        <w:bottom w:val="none" w:sz="0" w:space="0" w:color="auto"/>
        <w:right w:val="none" w:sz="0" w:space="0" w:color="auto"/>
      </w:divBdr>
    </w:div>
    <w:div w:id="1613126122">
      <w:bodyDiv w:val="1"/>
      <w:marLeft w:val="0"/>
      <w:marRight w:val="0"/>
      <w:marTop w:val="0"/>
      <w:marBottom w:val="0"/>
      <w:divBdr>
        <w:top w:val="none" w:sz="0" w:space="0" w:color="auto"/>
        <w:left w:val="none" w:sz="0" w:space="0" w:color="auto"/>
        <w:bottom w:val="none" w:sz="0" w:space="0" w:color="auto"/>
        <w:right w:val="none" w:sz="0" w:space="0" w:color="auto"/>
      </w:divBdr>
    </w:div>
    <w:div w:id="1667590819">
      <w:bodyDiv w:val="1"/>
      <w:marLeft w:val="0"/>
      <w:marRight w:val="0"/>
      <w:marTop w:val="0"/>
      <w:marBottom w:val="0"/>
      <w:divBdr>
        <w:top w:val="none" w:sz="0" w:space="0" w:color="auto"/>
        <w:left w:val="none" w:sz="0" w:space="0" w:color="auto"/>
        <w:bottom w:val="none" w:sz="0" w:space="0" w:color="auto"/>
        <w:right w:val="none" w:sz="0" w:space="0" w:color="auto"/>
      </w:divBdr>
    </w:div>
    <w:div w:id="1731490636">
      <w:bodyDiv w:val="1"/>
      <w:marLeft w:val="0"/>
      <w:marRight w:val="0"/>
      <w:marTop w:val="0"/>
      <w:marBottom w:val="0"/>
      <w:divBdr>
        <w:top w:val="none" w:sz="0" w:space="0" w:color="auto"/>
        <w:left w:val="none" w:sz="0" w:space="0" w:color="auto"/>
        <w:bottom w:val="none" w:sz="0" w:space="0" w:color="auto"/>
        <w:right w:val="none" w:sz="0" w:space="0" w:color="auto"/>
      </w:divBdr>
    </w:div>
    <w:div w:id="1788424545">
      <w:bodyDiv w:val="1"/>
      <w:marLeft w:val="0"/>
      <w:marRight w:val="0"/>
      <w:marTop w:val="0"/>
      <w:marBottom w:val="0"/>
      <w:divBdr>
        <w:top w:val="none" w:sz="0" w:space="0" w:color="auto"/>
        <w:left w:val="none" w:sz="0" w:space="0" w:color="auto"/>
        <w:bottom w:val="none" w:sz="0" w:space="0" w:color="auto"/>
        <w:right w:val="none" w:sz="0" w:space="0" w:color="auto"/>
      </w:divBdr>
    </w:div>
    <w:div w:id="1812282832">
      <w:bodyDiv w:val="1"/>
      <w:marLeft w:val="0"/>
      <w:marRight w:val="0"/>
      <w:marTop w:val="0"/>
      <w:marBottom w:val="0"/>
      <w:divBdr>
        <w:top w:val="none" w:sz="0" w:space="0" w:color="auto"/>
        <w:left w:val="none" w:sz="0" w:space="0" w:color="auto"/>
        <w:bottom w:val="none" w:sz="0" w:space="0" w:color="auto"/>
        <w:right w:val="none" w:sz="0" w:space="0" w:color="auto"/>
      </w:divBdr>
    </w:div>
    <w:div w:id="1852260977">
      <w:bodyDiv w:val="1"/>
      <w:marLeft w:val="0"/>
      <w:marRight w:val="0"/>
      <w:marTop w:val="0"/>
      <w:marBottom w:val="0"/>
      <w:divBdr>
        <w:top w:val="none" w:sz="0" w:space="0" w:color="auto"/>
        <w:left w:val="none" w:sz="0" w:space="0" w:color="auto"/>
        <w:bottom w:val="none" w:sz="0" w:space="0" w:color="auto"/>
        <w:right w:val="none" w:sz="0" w:space="0" w:color="auto"/>
      </w:divBdr>
    </w:div>
    <w:div w:id="1998410949">
      <w:bodyDiv w:val="1"/>
      <w:marLeft w:val="0"/>
      <w:marRight w:val="0"/>
      <w:marTop w:val="0"/>
      <w:marBottom w:val="0"/>
      <w:divBdr>
        <w:top w:val="none" w:sz="0" w:space="0" w:color="auto"/>
        <w:left w:val="none" w:sz="0" w:space="0" w:color="auto"/>
        <w:bottom w:val="none" w:sz="0" w:space="0" w:color="auto"/>
        <w:right w:val="none" w:sz="0" w:space="0" w:color="auto"/>
      </w:divBdr>
    </w:div>
    <w:div w:id="2007591602">
      <w:bodyDiv w:val="1"/>
      <w:marLeft w:val="0"/>
      <w:marRight w:val="0"/>
      <w:marTop w:val="0"/>
      <w:marBottom w:val="0"/>
      <w:divBdr>
        <w:top w:val="none" w:sz="0" w:space="0" w:color="auto"/>
        <w:left w:val="none" w:sz="0" w:space="0" w:color="auto"/>
        <w:bottom w:val="none" w:sz="0" w:space="0" w:color="auto"/>
        <w:right w:val="none" w:sz="0" w:space="0" w:color="auto"/>
      </w:divBdr>
    </w:div>
    <w:div w:id="2046517890">
      <w:bodyDiv w:val="1"/>
      <w:marLeft w:val="0"/>
      <w:marRight w:val="0"/>
      <w:marTop w:val="0"/>
      <w:marBottom w:val="0"/>
      <w:divBdr>
        <w:top w:val="none" w:sz="0" w:space="0" w:color="auto"/>
        <w:left w:val="none" w:sz="0" w:space="0" w:color="auto"/>
        <w:bottom w:val="none" w:sz="0" w:space="0" w:color="auto"/>
        <w:right w:val="none" w:sz="0" w:space="0" w:color="auto"/>
      </w:divBdr>
    </w:div>
    <w:div w:id="20569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505E-BB59-439D-BC4D-96D84CFD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Wasylik</dc:creator>
  <cp:keywords/>
  <dc:description/>
  <cp:lastModifiedBy>Ashley Dolan</cp:lastModifiedBy>
  <cp:revision>3</cp:revision>
  <cp:lastPrinted>2019-01-11T18:54:00Z</cp:lastPrinted>
  <dcterms:created xsi:type="dcterms:W3CDTF">2019-02-13T16:39:00Z</dcterms:created>
  <dcterms:modified xsi:type="dcterms:W3CDTF">2019-04-15T15:04:00Z</dcterms:modified>
</cp:coreProperties>
</file>