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34314" w14:textId="77777777" w:rsidR="00FD53C3" w:rsidRDefault="00FD53C3" w:rsidP="002841B8">
      <w:pPr>
        <w:spacing w:after="0" w:line="240" w:lineRule="auto"/>
        <w:rPr>
          <w:b/>
        </w:rPr>
      </w:pPr>
    </w:p>
    <w:p w14:paraId="03358C0E" w14:textId="749656FC" w:rsidR="00FD53C3" w:rsidRPr="005A779F" w:rsidRDefault="00C5759C" w:rsidP="002841B8">
      <w:pPr>
        <w:spacing w:after="0" w:line="240" w:lineRule="auto"/>
        <w:rPr>
          <w:rFonts w:ascii="Times New Roman" w:hAnsi="Times New Roman" w:cs="Times New Roman"/>
          <w:b/>
          <w:bCs/>
          <w:color w:val="BF8F00" w:themeColor="accent4" w:themeShade="BF"/>
          <w:sz w:val="56"/>
          <w:szCs w:val="56"/>
        </w:rPr>
      </w:pPr>
      <w:r>
        <w:rPr>
          <w:rFonts w:ascii="Times New Roman" w:hAnsi="Times New Roman" w:cs="Times New Roman"/>
          <w:b/>
          <w:bCs/>
          <w:color w:val="BF8F00" w:themeColor="accent4" w:themeShade="BF"/>
          <w:sz w:val="56"/>
          <w:szCs w:val="56"/>
        </w:rPr>
        <w:t xml:space="preserve">     </w:t>
      </w:r>
      <w:r w:rsidR="005A779F" w:rsidRPr="005A779F">
        <w:rPr>
          <w:rFonts w:ascii="Times New Roman" w:hAnsi="Times New Roman" w:cs="Times New Roman"/>
          <w:b/>
          <w:bCs/>
          <w:color w:val="BF8F00" w:themeColor="accent4" w:themeShade="BF"/>
          <w:sz w:val="56"/>
          <w:szCs w:val="56"/>
        </w:rPr>
        <w:t>HAYES</w:t>
      </w:r>
    </w:p>
    <w:p w14:paraId="6D34F350" w14:textId="552E844D" w:rsidR="005A779F" w:rsidRPr="005A779F" w:rsidRDefault="00C5759C" w:rsidP="002841B8">
      <w:pPr>
        <w:spacing w:after="0" w:line="240" w:lineRule="auto"/>
        <w:rPr>
          <w:rFonts w:ascii="Times New Roman" w:hAnsi="Times New Roman" w:cs="Times New Roman"/>
          <w:b/>
          <w:bCs/>
          <w:color w:val="BF8F00" w:themeColor="accent4" w:themeShade="BF"/>
          <w:sz w:val="56"/>
          <w:szCs w:val="56"/>
        </w:rPr>
      </w:pPr>
      <w:r>
        <w:rPr>
          <w:rFonts w:ascii="Times New Roman" w:hAnsi="Times New Roman" w:cs="Times New Roman"/>
          <w:b/>
          <w:bCs/>
          <w:color w:val="BF8F00" w:themeColor="accent4" w:themeShade="BF"/>
          <w:sz w:val="56"/>
          <w:szCs w:val="56"/>
        </w:rPr>
        <w:t xml:space="preserve">     </w:t>
      </w:r>
      <w:r w:rsidR="005A779F" w:rsidRPr="005A779F">
        <w:rPr>
          <w:rFonts w:ascii="Times New Roman" w:hAnsi="Times New Roman" w:cs="Times New Roman"/>
          <w:b/>
          <w:bCs/>
          <w:color w:val="BF8F00" w:themeColor="accent4" w:themeShade="BF"/>
          <w:sz w:val="56"/>
          <w:szCs w:val="56"/>
        </w:rPr>
        <w:t>ASSET MANAGEMENT LLC</w:t>
      </w:r>
    </w:p>
    <w:p w14:paraId="77C1D789" w14:textId="3E9DADE3" w:rsidR="005A779F" w:rsidRDefault="005A779F" w:rsidP="002841B8">
      <w:pPr>
        <w:spacing w:after="0" w:line="240" w:lineRule="auto"/>
        <w:rPr>
          <w:b/>
          <w:bCs/>
        </w:rPr>
      </w:pPr>
    </w:p>
    <w:p w14:paraId="6FB5EB1B" w14:textId="2A5FE9BD" w:rsidR="005A779F" w:rsidRDefault="00C5759C" w:rsidP="002841B8">
      <w:pPr>
        <w:spacing w:after="0" w:line="240" w:lineRule="auto"/>
        <w:jc w:val="center"/>
        <w:rPr>
          <w:b/>
          <w:bCs/>
        </w:rPr>
      </w:pPr>
      <w:r>
        <w:rPr>
          <w:b/>
          <w:bCs/>
          <w:noProof/>
        </w:rPr>
        <w:drawing>
          <wp:inline distT="0" distB="0" distL="0" distR="0" wp14:anchorId="3AC76358" wp14:editId="3BA0D60E">
            <wp:extent cx="5944235" cy="2524125"/>
            <wp:effectExtent l="38100" t="38100" r="37465"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2524125"/>
                    </a:xfrm>
                    <a:prstGeom prst="rect">
                      <a:avLst/>
                    </a:prstGeom>
                    <a:noFill/>
                    <a:ln w="28575">
                      <a:solidFill>
                        <a:schemeClr val="tx1"/>
                      </a:solidFill>
                    </a:ln>
                  </pic:spPr>
                </pic:pic>
              </a:graphicData>
            </a:graphic>
          </wp:inline>
        </w:drawing>
      </w:r>
    </w:p>
    <w:p w14:paraId="103A91BE" w14:textId="777B7114" w:rsidR="002841B8" w:rsidRDefault="002841B8" w:rsidP="002841B8">
      <w:pPr>
        <w:spacing w:after="0" w:line="240" w:lineRule="auto"/>
        <w:jc w:val="center"/>
        <w:rPr>
          <w:b/>
          <w:bCs/>
        </w:rPr>
      </w:pPr>
      <w:r>
        <w:rPr>
          <w:noProof/>
        </w:rPr>
        <mc:AlternateContent>
          <mc:Choice Requires="wps">
            <w:drawing>
              <wp:anchor distT="0" distB="0" distL="114300" distR="114300" simplePos="0" relativeHeight="251659264" behindDoc="0" locked="0" layoutInCell="1" allowOverlap="1" wp14:anchorId="653007F2" wp14:editId="1976B976">
                <wp:simplePos x="0" y="0"/>
                <wp:positionH relativeFrom="column">
                  <wp:posOffset>1466850</wp:posOffset>
                </wp:positionH>
                <wp:positionV relativeFrom="paragraph">
                  <wp:posOffset>98425</wp:posOffset>
                </wp:positionV>
                <wp:extent cx="1828800" cy="5429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6CF6C05C" w14:textId="77777777" w:rsidR="002841B8" w:rsidRPr="002841B8" w:rsidRDefault="002841B8" w:rsidP="002841B8">
                            <w:pPr>
                              <w:spacing w:after="0" w:line="240" w:lineRule="auto"/>
                              <w:jc w:val="center"/>
                              <w:rPr>
                                <w:bCs/>
                                <w:color w:val="000000" w:themeColor="text1"/>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2841B8">
                              <w:rPr>
                                <w:bCs/>
                                <w:color w:val="000000" w:themeColor="text1"/>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Quarterly Insights – April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3007F2" id="_x0000_t202" coordsize="21600,21600" o:spt="202" path="m,l,21600r21600,l21600,xe">
                <v:stroke joinstyle="miter"/>
                <v:path gradientshapeok="t" o:connecttype="rect"/>
              </v:shapetype>
              <v:shape id="Text Box 3" o:spid="_x0000_s1026" type="#_x0000_t202" style="position:absolute;left:0;text-align:left;margin-left:115.5pt;margin-top:7.75pt;width:2in;height:42.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" filled="f" stroked="f">
                <v:fill o:detectmouseclick="t"/>
                <v:textbox>
                  <w:txbxContent>
                    <w:p w14:paraId="6CF6C05C" w14:textId="77777777" w:rsidR="002841B8" w:rsidRPr="002841B8" w:rsidRDefault="002841B8" w:rsidP="002841B8">
                      <w:pPr>
                        <w:spacing w:after="0" w:line="240" w:lineRule="auto"/>
                        <w:jc w:val="center"/>
                        <w:rPr>
                          <w:bCs/>
                          <w:color w:val="000000" w:themeColor="text1"/>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2841B8">
                        <w:rPr>
                          <w:bCs/>
                          <w:color w:val="000000" w:themeColor="text1"/>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Quarterly Insights – April 2019</w:t>
                      </w:r>
                    </w:p>
                  </w:txbxContent>
                </v:textbox>
                <w10:wrap type="square"/>
              </v:shape>
            </w:pict>
          </mc:Fallback>
        </mc:AlternateContent>
      </w:r>
    </w:p>
    <w:p w14:paraId="3205A7EF" w14:textId="3D1674FC" w:rsidR="002841B8" w:rsidRDefault="002841B8" w:rsidP="002841B8">
      <w:pPr>
        <w:spacing w:after="0" w:line="240" w:lineRule="auto"/>
        <w:jc w:val="center"/>
        <w:rPr>
          <w:b/>
          <w:bCs/>
        </w:rPr>
      </w:pPr>
    </w:p>
    <w:p w14:paraId="401EB431" w14:textId="291904AA" w:rsidR="002841B8" w:rsidRDefault="002841B8" w:rsidP="002841B8">
      <w:pPr>
        <w:spacing w:after="0" w:line="240" w:lineRule="auto"/>
        <w:jc w:val="center"/>
        <w:rPr>
          <w:b/>
          <w:bCs/>
        </w:rPr>
      </w:pPr>
    </w:p>
    <w:tbl>
      <w:tblPr>
        <w:tblpPr w:leftFromText="180" w:rightFromText="180" w:vertAnchor="text" w:horzAnchor="margin" w:tblpY="266"/>
        <w:tblW w:w="4860" w:type="dxa"/>
        <w:tblCellMar>
          <w:top w:w="15" w:type="dxa"/>
          <w:bottom w:w="15" w:type="dxa"/>
        </w:tblCellMar>
        <w:tblLook w:val="04A0" w:firstRow="1" w:lastRow="0" w:firstColumn="1" w:lastColumn="0" w:noHBand="0" w:noVBand="1"/>
      </w:tblPr>
      <w:tblGrid>
        <w:gridCol w:w="2430"/>
        <w:gridCol w:w="1080"/>
        <w:gridCol w:w="1350"/>
      </w:tblGrid>
      <w:tr w:rsidR="009A239A" w:rsidRPr="0055613A" w14:paraId="7B484539" w14:textId="77777777" w:rsidTr="009A239A">
        <w:trPr>
          <w:trHeight w:val="360"/>
        </w:trPr>
        <w:tc>
          <w:tcPr>
            <w:tcW w:w="24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5C4B" w14:textId="77777777" w:rsidR="009A239A" w:rsidRPr="0055613A" w:rsidRDefault="009A239A" w:rsidP="009A239A">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US Equity Indexes</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AD60C6" w14:textId="77777777" w:rsidR="009A239A" w:rsidRPr="0055613A" w:rsidRDefault="009A239A" w:rsidP="009A239A">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Q</w:t>
            </w:r>
            <w:r>
              <w:rPr>
                <w:rFonts w:ascii="Calibri" w:eastAsia="Times New Roman" w:hAnsi="Calibri" w:cs="Calibri"/>
                <w:b/>
                <w:bCs/>
                <w:sz w:val="20"/>
                <w:szCs w:val="20"/>
              </w:rPr>
              <w:t>1</w:t>
            </w:r>
            <w:r w:rsidRPr="0055613A">
              <w:rPr>
                <w:rFonts w:ascii="Calibri" w:eastAsia="Times New Roman" w:hAnsi="Calibri" w:cs="Calibri"/>
                <w:b/>
                <w:bCs/>
                <w:sz w:val="20"/>
                <w:szCs w:val="20"/>
              </w:rPr>
              <w:t xml:space="preserve"> Return </w:t>
            </w:r>
          </w:p>
        </w:tc>
        <w:tc>
          <w:tcPr>
            <w:tcW w:w="13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0662FE5" w14:textId="77777777" w:rsidR="009A239A" w:rsidRPr="0055613A" w:rsidRDefault="009A239A" w:rsidP="009A239A">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 xml:space="preserve">2018 Return </w:t>
            </w:r>
          </w:p>
        </w:tc>
      </w:tr>
      <w:tr w:rsidR="009A239A" w:rsidRPr="0055613A" w14:paraId="3B5F86CB" w14:textId="77777777" w:rsidTr="009A239A">
        <w:trPr>
          <w:trHeight w:val="55"/>
        </w:trPr>
        <w:tc>
          <w:tcPr>
            <w:tcW w:w="2430" w:type="dxa"/>
            <w:tcBorders>
              <w:top w:val="single" w:sz="4" w:space="0" w:color="auto"/>
              <w:left w:val="single" w:sz="4" w:space="0" w:color="auto"/>
              <w:bottom w:val="single" w:sz="4" w:space="0" w:color="auto"/>
              <w:right w:val="single" w:sz="4" w:space="0" w:color="auto"/>
            </w:tcBorders>
            <w:vAlign w:val="center"/>
            <w:hideMark/>
          </w:tcPr>
          <w:p w14:paraId="1E94952B" w14:textId="77777777" w:rsidR="009A239A" w:rsidRPr="0055613A" w:rsidRDefault="009A239A" w:rsidP="009A239A">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S&amp;P 500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52B5708"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13.65%</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AB6A187"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-4.38%</w:t>
            </w:r>
          </w:p>
        </w:tc>
      </w:tr>
      <w:tr w:rsidR="009A239A" w:rsidRPr="0055613A" w14:paraId="154FD399" w14:textId="77777777" w:rsidTr="009A239A">
        <w:trPr>
          <w:trHeight w:val="83"/>
        </w:trPr>
        <w:tc>
          <w:tcPr>
            <w:tcW w:w="2430" w:type="dxa"/>
            <w:tcBorders>
              <w:top w:val="single" w:sz="4" w:space="0" w:color="auto"/>
              <w:left w:val="single" w:sz="4" w:space="0" w:color="auto"/>
              <w:bottom w:val="single" w:sz="4" w:space="0" w:color="auto"/>
              <w:right w:val="single" w:sz="4" w:space="0" w:color="auto"/>
            </w:tcBorders>
            <w:vAlign w:val="center"/>
          </w:tcPr>
          <w:p w14:paraId="5AC2EFEA" w14:textId="77777777" w:rsidR="009A239A" w:rsidRPr="0055613A" w:rsidRDefault="009A239A" w:rsidP="009A239A">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DJ Industrial Average</w:t>
            </w:r>
          </w:p>
        </w:tc>
        <w:tc>
          <w:tcPr>
            <w:tcW w:w="1080" w:type="dxa"/>
            <w:tcBorders>
              <w:top w:val="single" w:sz="4" w:space="0" w:color="auto"/>
              <w:left w:val="single" w:sz="4" w:space="0" w:color="auto"/>
              <w:bottom w:val="single" w:sz="4" w:space="0" w:color="auto"/>
              <w:right w:val="single" w:sz="4" w:space="0" w:color="auto"/>
            </w:tcBorders>
            <w:vAlign w:val="center"/>
          </w:tcPr>
          <w:p w14:paraId="037AB981"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11.81%</w:t>
            </w:r>
          </w:p>
        </w:tc>
        <w:tc>
          <w:tcPr>
            <w:tcW w:w="1350" w:type="dxa"/>
            <w:tcBorders>
              <w:top w:val="single" w:sz="4" w:space="0" w:color="auto"/>
              <w:left w:val="single" w:sz="4" w:space="0" w:color="auto"/>
              <w:bottom w:val="single" w:sz="4" w:space="0" w:color="auto"/>
              <w:right w:val="single" w:sz="4" w:space="0" w:color="auto"/>
            </w:tcBorders>
            <w:vAlign w:val="center"/>
          </w:tcPr>
          <w:p w14:paraId="162B4702"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-3.48%</w:t>
            </w:r>
          </w:p>
        </w:tc>
      </w:tr>
      <w:tr w:rsidR="009A239A" w:rsidRPr="0055613A" w14:paraId="6819597A" w14:textId="77777777" w:rsidTr="009A239A">
        <w:trPr>
          <w:trHeight w:val="128"/>
        </w:trPr>
        <w:tc>
          <w:tcPr>
            <w:tcW w:w="2430" w:type="dxa"/>
            <w:tcBorders>
              <w:top w:val="single" w:sz="4" w:space="0" w:color="auto"/>
              <w:left w:val="single" w:sz="4" w:space="0" w:color="auto"/>
              <w:bottom w:val="single" w:sz="4" w:space="0" w:color="auto"/>
              <w:right w:val="single" w:sz="4" w:space="0" w:color="auto"/>
            </w:tcBorders>
            <w:vAlign w:val="center"/>
            <w:hideMark/>
          </w:tcPr>
          <w:p w14:paraId="32754D14" w14:textId="77777777" w:rsidR="009A239A" w:rsidRPr="0055613A" w:rsidRDefault="009A239A" w:rsidP="009A239A">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 xml:space="preserve">NASDAQ Composite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91AD074"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16.89%</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BBEA53"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0.04%</w:t>
            </w:r>
          </w:p>
        </w:tc>
      </w:tr>
      <w:tr w:rsidR="009A239A" w:rsidRPr="0055613A" w14:paraId="45B249C3" w14:textId="77777777" w:rsidTr="009A239A">
        <w:trPr>
          <w:trHeight w:val="173"/>
        </w:trPr>
        <w:tc>
          <w:tcPr>
            <w:tcW w:w="2430" w:type="dxa"/>
            <w:tcBorders>
              <w:top w:val="single" w:sz="4" w:space="0" w:color="auto"/>
              <w:left w:val="single" w:sz="4" w:space="0" w:color="auto"/>
              <w:bottom w:val="single" w:sz="4" w:space="0" w:color="auto"/>
              <w:right w:val="single" w:sz="4" w:space="0" w:color="auto"/>
            </w:tcBorders>
            <w:vAlign w:val="center"/>
            <w:hideMark/>
          </w:tcPr>
          <w:p w14:paraId="2F8A89BE" w14:textId="77777777" w:rsidR="009A239A" w:rsidRPr="0055613A" w:rsidRDefault="009A239A" w:rsidP="009A239A">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 xml:space="preserve">S&amp;P </w:t>
            </w:r>
            <w:proofErr w:type="spellStart"/>
            <w:r w:rsidRPr="0055613A">
              <w:rPr>
                <w:rFonts w:ascii="Calibri" w:eastAsia="Times New Roman" w:hAnsi="Calibri" w:cs="Calibri"/>
                <w:sz w:val="20"/>
                <w:szCs w:val="20"/>
              </w:rPr>
              <w:t>MidCap</w:t>
            </w:r>
            <w:proofErr w:type="spellEnd"/>
            <w:r w:rsidRPr="0055613A">
              <w:rPr>
                <w:rFonts w:ascii="Calibri" w:eastAsia="Times New Roman" w:hAnsi="Calibri" w:cs="Calibri"/>
                <w:sz w:val="20"/>
                <w:szCs w:val="20"/>
              </w:rPr>
              <w:t xml:space="preserve"> 400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0D3117E"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14.49%</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C52F5F3"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-11.08%</w:t>
            </w:r>
          </w:p>
        </w:tc>
      </w:tr>
      <w:tr w:rsidR="009A239A" w:rsidRPr="0055613A" w14:paraId="61AE4745" w14:textId="77777777" w:rsidTr="009A239A">
        <w:trPr>
          <w:trHeight w:val="55"/>
        </w:trPr>
        <w:tc>
          <w:tcPr>
            <w:tcW w:w="2430" w:type="dxa"/>
            <w:tcBorders>
              <w:top w:val="single" w:sz="4" w:space="0" w:color="auto"/>
              <w:left w:val="single" w:sz="4" w:space="0" w:color="auto"/>
              <w:bottom w:val="single" w:sz="4" w:space="0" w:color="auto"/>
              <w:right w:val="single" w:sz="4" w:space="0" w:color="auto"/>
            </w:tcBorders>
            <w:vAlign w:val="center"/>
            <w:hideMark/>
          </w:tcPr>
          <w:p w14:paraId="63C499A0" w14:textId="77777777" w:rsidR="009A239A" w:rsidRPr="0055613A" w:rsidRDefault="009A239A" w:rsidP="009A239A">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Russell 2000</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8467C86"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14.58%</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23DBA7"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-11.01%</w:t>
            </w:r>
          </w:p>
        </w:tc>
      </w:tr>
    </w:tbl>
    <w:tbl>
      <w:tblPr>
        <w:tblpPr w:leftFromText="180" w:rightFromText="180" w:vertAnchor="text" w:horzAnchor="margin" w:tblpXSpec="right" w:tblpY="266"/>
        <w:tblW w:w="5665" w:type="dxa"/>
        <w:tblCellMar>
          <w:top w:w="15" w:type="dxa"/>
          <w:bottom w:w="15" w:type="dxa"/>
        </w:tblCellMar>
        <w:tblLook w:val="04A0" w:firstRow="1" w:lastRow="0" w:firstColumn="1" w:lastColumn="0" w:noHBand="0" w:noVBand="1"/>
      </w:tblPr>
      <w:tblGrid>
        <w:gridCol w:w="3235"/>
        <w:gridCol w:w="1080"/>
        <w:gridCol w:w="1350"/>
      </w:tblGrid>
      <w:tr w:rsidR="009A239A" w:rsidRPr="0055613A" w14:paraId="04B710F5" w14:textId="77777777" w:rsidTr="009A239A">
        <w:trPr>
          <w:trHeight w:val="360"/>
        </w:trPr>
        <w:tc>
          <w:tcPr>
            <w:tcW w:w="323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D37D35" w14:textId="77777777" w:rsidR="009A239A" w:rsidRPr="0055613A" w:rsidRDefault="009A239A" w:rsidP="009A239A">
            <w:pPr>
              <w:spacing w:after="0" w:line="240" w:lineRule="auto"/>
              <w:jc w:val="center"/>
              <w:rPr>
                <w:rFonts w:ascii="Calibri" w:eastAsia="Times New Roman" w:hAnsi="Calibri" w:cs="Calibri"/>
                <w:b/>
                <w:bCs/>
                <w:sz w:val="20"/>
                <w:szCs w:val="20"/>
              </w:rPr>
            </w:pPr>
            <w:bookmarkStart w:id="0" w:name="_Hlk5107776"/>
            <w:r w:rsidRPr="0055613A">
              <w:rPr>
                <w:rFonts w:ascii="Calibri" w:eastAsia="Times New Roman" w:hAnsi="Calibri" w:cs="Calibri"/>
                <w:b/>
                <w:bCs/>
                <w:sz w:val="20"/>
                <w:szCs w:val="20"/>
              </w:rPr>
              <w:t>US Bond Indexes</w:t>
            </w:r>
          </w:p>
        </w:tc>
        <w:tc>
          <w:tcPr>
            <w:tcW w:w="10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77349E" w14:textId="77777777" w:rsidR="009A239A" w:rsidRPr="0055613A" w:rsidRDefault="009A239A" w:rsidP="009A239A">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Q</w:t>
            </w:r>
            <w:r>
              <w:rPr>
                <w:rFonts w:ascii="Calibri" w:eastAsia="Times New Roman" w:hAnsi="Calibri" w:cs="Calibri"/>
                <w:b/>
                <w:bCs/>
                <w:sz w:val="20"/>
                <w:szCs w:val="20"/>
              </w:rPr>
              <w:t>1</w:t>
            </w:r>
            <w:r w:rsidRPr="0055613A">
              <w:rPr>
                <w:rFonts w:ascii="Calibri" w:eastAsia="Times New Roman" w:hAnsi="Calibri" w:cs="Calibri"/>
                <w:b/>
                <w:bCs/>
                <w:sz w:val="20"/>
                <w:szCs w:val="20"/>
              </w:rPr>
              <w:t xml:space="preserve"> Return</w:t>
            </w:r>
          </w:p>
        </w:tc>
        <w:tc>
          <w:tcPr>
            <w:tcW w:w="13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2A6D7C" w14:textId="77777777" w:rsidR="009A239A" w:rsidRPr="0055613A" w:rsidRDefault="009A239A" w:rsidP="009A239A">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2018 Return</w:t>
            </w:r>
          </w:p>
        </w:tc>
      </w:tr>
      <w:tr w:rsidR="009A239A" w:rsidRPr="0055613A" w14:paraId="75D99F69" w14:textId="77777777" w:rsidTr="009A239A">
        <w:trPr>
          <w:trHeight w:val="432"/>
        </w:trPr>
        <w:tc>
          <w:tcPr>
            <w:tcW w:w="3235" w:type="dxa"/>
            <w:tcBorders>
              <w:top w:val="single" w:sz="4" w:space="0" w:color="auto"/>
              <w:left w:val="single" w:sz="4" w:space="0" w:color="auto"/>
              <w:bottom w:val="single" w:sz="4" w:space="0" w:color="auto"/>
              <w:right w:val="single" w:sz="4" w:space="0" w:color="auto"/>
            </w:tcBorders>
            <w:vAlign w:val="center"/>
            <w:hideMark/>
          </w:tcPr>
          <w:p w14:paraId="7E12317C" w14:textId="77777777" w:rsidR="009A239A" w:rsidRPr="0055613A" w:rsidRDefault="009A239A" w:rsidP="009A239A">
            <w:pPr>
              <w:spacing w:after="0" w:line="240" w:lineRule="auto"/>
              <w:rPr>
                <w:rFonts w:ascii="Calibri" w:eastAsia="Times New Roman" w:hAnsi="Calibri" w:cs="Calibri"/>
                <w:sz w:val="20"/>
                <w:szCs w:val="20"/>
              </w:rPr>
            </w:pPr>
            <w:proofErr w:type="spellStart"/>
            <w:r w:rsidRPr="0055613A">
              <w:rPr>
                <w:rFonts w:ascii="Calibri" w:eastAsia="Times New Roman" w:hAnsi="Calibri" w:cs="Calibri"/>
                <w:sz w:val="20"/>
                <w:szCs w:val="20"/>
              </w:rPr>
              <w:t>BBgBarc</w:t>
            </w:r>
            <w:proofErr w:type="spellEnd"/>
            <w:r w:rsidRPr="0055613A">
              <w:rPr>
                <w:rFonts w:ascii="Calibri" w:eastAsia="Times New Roman" w:hAnsi="Calibri" w:cs="Calibri"/>
                <w:sz w:val="20"/>
                <w:szCs w:val="20"/>
              </w:rPr>
              <w:t xml:space="preserve"> US </w:t>
            </w:r>
            <w:proofErr w:type="spellStart"/>
            <w:r w:rsidRPr="0055613A">
              <w:rPr>
                <w:rFonts w:ascii="Calibri" w:eastAsia="Times New Roman" w:hAnsi="Calibri" w:cs="Calibri"/>
                <w:sz w:val="20"/>
                <w:szCs w:val="20"/>
              </w:rPr>
              <w:t>Agg</w:t>
            </w:r>
            <w:proofErr w:type="spellEnd"/>
            <w:r w:rsidRPr="0055613A">
              <w:rPr>
                <w:rFonts w:ascii="Calibri" w:eastAsia="Times New Roman" w:hAnsi="Calibri" w:cs="Calibri"/>
                <w:sz w:val="20"/>
                <w:szCs w:val="20"/>
              </w:rPr>
              <w:t xml:space="preserve"> Bond</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B0161E1"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2.94%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14A3B8"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0.01%</w:t>
            </w:r>
          </w:p>
        </w:tc>
      </w:tr>
      <w:tr w:rsidR="009A239A" w:rsidRPr="0055613A" w14:paraId="11B4CF6E" w14:textId="77777777" w:rsidTr="009A239A">
        <w:trPr>
          <w:trHeight w:val="432"/>
        </w:trPr>
        <w:tc>
          <w:tcPr>
            <w:tcW w:w="3235" w:type="dxa"/>
            <w:tcBorders>
              <w:top w:val="single" w:sz="4" w:space="0" w:color="auto"/>
              <w:left w:val="single" w:sz="4" w:space="0" w:color="auto"/>
              <w:bottom w:val="single" w:sz="4" w:space="0" w:color="auto"/>
              <w:right w:val="single" w:sz="4" w:space="0" w:color="auto"/>
            </w:tcBorders>
            <w:vAlign w:val="center"/>
          </w:tcPr>
          <w:p w14:paraId="38C5699E" w14:textId="77777777" w:rsidR="009A239A" w:rsidRPr="0055613A" w:rsidRDefault="009A239A" w:rsidP="009A239A">
            <w:pPr>
              <w:spacing w:after="0" w:line="240" w:lineRule="auto"/>
              <w:rPr>
                <w:rFonts w:ascii="Calibri" w:eastAsia="Times New Roman" w:hAnsi="Calibri" w:cs="Calibri"/>
                <w:sz w:val="20"/>
                <w:szCs w:val="20"/>
              </w:rPr>
            </w:pPr>
            <w:proofErr w:type="spellStart"/>
            <w:r w:rsidRPr="0055613A">
              <w:rPr>
                <w:rFonts w:ascii="Calibri" w:eastAsia="Times New Roman" w:hAnsi="Calibri" w:cs="Calibri"/>
                <w:sz w:val="20"/>
                <w:szCs w:val="20"/>
              </w:rPr>
              <w:t>BBgBarc</w:t>
            </w:r>
            <w:proofErr w:type="spellEnd"/>
            <w:r w:rsidRPr="0055613A">
              <w:rPr>
                <w:rFonts w:ascii="Calibri" w:eastAsia="Times New Roman" w:hAnsi="Calibri" w:cs="Calibri"/>
                <w:sz w:val="20"/>
                <w:szCs w:val="20"/>
              </w:rPr>
              <w:t xml:space="preserve"> US T-Bill 1-3 Mon</w:t>
            </w:r>
          </w:p>
        </w:tc>
        <w:tc>
          <w:tcPr>
            <w:tcW w:w="1080" w:type="dxa"/>
            <w:tcBorders>
              <w:top w:val="single" w:sz="4" w:space="0" w:color="auto"/>
              <w:left w:val="single" w:sz="4" w:space="0" w:color="auto"/>
              <w:bottom w:val="single" w:sz="4" w:space="0" w:color="auto"/>
              <w:right w:val="single" w:sz="4" w:space="0" w:color="auto"/>
            </w:tcBorders>
            <w:vAlign w:val="center"/>
          </w:tcPr>
          <w:p w14:paraId="0871B096"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0.59%</w:t>
            </w:r>
          </w:p>
        </w:tc>
        <w:tc>
          <w:tcPr>
            <w:tcW w:w="1350" w:type="dxa"/>
            <w:tcBorders>
              <w:top w:val="single" w:sz="4" w:space="0" w:color="auto"/>
              <w:left w:val="single" w:sz="4" w:space="0" w:color="auto"/>
              <w:bottom w:val="single" w:sz="4" w:space="0" w:color="auto"/>
              <w:right w:val="single" w:sz="4" w:space="0" w:color="auto"/>
            </w:tcBorders>
            <w:vAlign w:val="center"/>
          </w:tcPr>
          <w:p w14:paraId="0C902A56"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1.82%</w:t>
            </w:r>
          </w:p>
        </w:tc>
      </w:tr>
      <w:tr w:rsidR="009A239A" w:rsidRPr="0055613A" w14:paraId="5542F329" w14:textId="77777777" w:rsidTr="009A239A">
        <w:trPr>
          <w:trHeight w:val="432"/>
        </w:trPr>
        <w:tc>
          <w:tcPr>
            <w:tcW w:w="3235" w:type="dxa"/>
            <w:tcBorders>
              <w:top w:val="single" w:sz="4" w:space="0" w:color="auto"/>
              <w:left w:val="single" w:sz="4" w:space="0" w:color="auto"/>
              <w:bottom w:val="single" w:sz="4" w:space="0" w:color="auto"/>
              <w:right w:val="single" w:sz="4" w:space="0" w:color="auto"/>
            </w:tcBorders>
            <w:vAlign w:val="center"/>
          </w:tcPr>
          <w:p w14:paraId="60866C8D" w14:textId="77777777" w:rsidR="009A239A" w:rsidRPr="0055613A" w:rsidRDefault="009A239A" w:rsidP="009A239A">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ICE US T-Bond 7-10 Year</w:t>
            </w:r>
          </w:p>
        </w:tc>
        <w:tc>
          <w:tcPr>
            <w:tcW w:w="1080" w:type="dxa"/>
            <w:tcBorders>
              <w:top w:val="single" w:sz="4" w:space="0" w:color="auto"/>
              <w:left w:val="single" w:sz="4" w:space="0" w:color="auto"/>
              <w:bottom w:val="single" w:sz="4" w:space="0" w:color="auto"/>
              <w:right w:val="single" w:sz="4" w:space="0" w:color="auto"/>
            </w:tcBorders>
            <w:vAlign w:val="center"/>
          </w:tcPr>
          <w:p w14:paraId="1FFF42E7"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3.06%</w:t>
            </w:r>
          </w:p>
        </w:tc>
        <w:tc>
          <w:tcPr>
            <w:tcW w:w="1350" w:type="dxa"/>
            <w:tcBorders>
              <w:top w:val="single" w:sz="4" w:space="0" w:color="auto"/>
              <w:left w:val="single" w:sz="4" w:space="0" w:color="auto"/>
              <w:bottom w:val="single" w:sz="4" w:space="0" w:color="auto"/>
              <w:right w:val="single" w:sz="4" w:space="0" w:color="auto"/>
            </w:tcBorders>
            <w:vAlign w:val="center"/>
          </w:tcPr>
          <w:p w14:paraId="1EB65E0E"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0.90%</w:t>
            </w:r>
          </w:p>
        </w:tc>
      </w:tr>
      <w:tr w:rsidR="009A239A" w:rsidRPr="0055613A" w14:paraId="7A9B0136" w14:textId="77777777" w:rsidTr="009A239A">
        <w:trPr>
          <w:trHeight w:val="432"/>
        </w:trPr>
        <w:tc>
          <w:tcPr>
            <w:tcW w:w="3235" w:type="dxa"/>
            <w:tcBorders>
              <w:top w:val="single" w:sz="4" w:space="0" w:color="auto"/>
              <w:left w:val="single" w:sz="4" w:space="0" w:color="auto"/>
              <w:bottom w:val="single" w:sz="4" w:space="0" w:color="auto"/>
              <w:right w:val="single" w:sz="4" w:space="0" w:color="auto"/>
            </w:tcBorders>
            <w:vAlign w:val="center"/>
            <w:hideMark/>
          </w:tcPr>
          <w:p w14:paraId="04774EF4" w14:textId="77777777" w:rsidR="009A239A" w:rsidRPr="0055613A" w:rsidRDefault="009A239A" w:rsidP="009A239A">
            <w:pPr>
              <w:spacing w:after="0" w:line="240" w:lineRule="auto"/>
              <w:rPr>
                <w:rFonts w:ascii="Calibri" w:eastAsia="Times New Roman" w:hAnsi="Calibri" w:cs="Calibri"/>
                <w:sz w:val="20"/>
                <w:szCs w:val="20"/>
              </w:rPr>
            </w:pPr>
            <w:proofErr w:type="spellStart"/>
            <w:r w:rsidRPr="0055613A">
              <w:rPr>
                <w:rFonts w:ascii="Calibri" w:eastAsia="Times New Roman" w:hAnsi="Calibri" w:cs="Calibri"/>
                <w:sz w:val="20"/>
                <w:szCs w:val="20"/>
              </w:rPr>
              <w:t>BBgBarc</w:t>
            </w:r>
            <w:proofErr w:type="spellEnd"/>
            <w:r w:rsidRPr="0055613A">
              <w:rPr>
                <w:rFonts w:ascii="Calibri" w:eastAsia="Times New Roman" w:hAnsi="Calibri" w:cs="Calibri"/>
                <w:sz w:val="20"/>
                <w:szCs w:val="20"/>
              </w:rPr>
              <w:t xml:space="preserve"> US MBS (Mortgage-backed)</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01C9F0F"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2.17%</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50EFA0A"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0.99%</w:t>
            </w:r>
          </w:p>
        </w:tc>
      </w:tr>
      <w:tr w:rsidR="009A239A" w:rsidRPr="0055613A" w14:paraId="6D52D327" w14:textId="77777777" w:rsidTr="009A239A">
        <w:trPr>
          <w:trHeight w:val="432"/>
        </w:trPr>
        <w:tc>
          <w:tcPr>
            <w:tcW w:w="3235" w:type="dxa"/>
            <w:tcBorders>
              <w:top w:val="single" w:sz="4" w:space="0" w:color="auto"/>
              <w:left w:val="single" w:sz="4" w:space="0" w:color="auto"/>
              <w:bottom w:val="single" w:sz="4" w:space="0" w:color="auto"/>
              <w:right w:val="single" w:sz="4" w:space="0" w:color="auto"/>
            </w:tcBorders>
            <w:vAlign w:val="center"/>
            <w:hideMark/>
          </w:tcPr>
          <w:p w14:paraId="278A5B92" w14:textId="77777777" w:rsidR="009A239A" w:rsidRPr="0055613A" w:rsidRDefault="009A239A" w:rsidP="009A239A">
            <w:pPr>
              <w:spacing w:after="0" w:line="240" w:lineRule="auto"/>
              <w:rPr>
                <w:rFonts w:ascii="Calibri" w:eastAsia="Times New Roman" w:hAnsi="Calibri" w:cs="Calibri"/>
                <w:sz w:val="20"/>
                <w:szCs w:val="20"/>
              </w:rPr>
            </w:pPr>
            <w:proofErr w:type="spellStart"/>
            <w:r w:rsidRPr="0055613A">
              <w:rPr>
                <w:rFonts w:ascii="Calibri" w:eastAsia="Times New Roman" w:hAnsi="Calibri" w:cs="Calibri"/>
                <w:sz w:val="20"/>
                <w:szCs w:val="20"/>
              </w:rPr>
              <w:t>BBgBarc</w:t>
            </w:r>
            <w:proofErr w:type="spellEnd"/>
            <w:r w:rsidRPr="0055613A">
              <w:rPr>
                <w:rFonts w:ascii="Calibri" w:eastAsia="Times New Roman" w:hAnsi="Calibri" w:cs="Calibri"/>
                <w:sz w:val="20"/>
                <w:szCs w:val="20"/>
              </w:rPr>
              <w:t xml:space="preserve"> Municipal</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1E7B9B3"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2.79%</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CBAA58"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1.28%</w:t>
            </w:r>
          </w:p>
        </w:tc>
      </w:tr>
      <w:tr w:rsidR="009A239A" w:rsidRPr="0055613A" w14:paraId="66AA05FE" w14:textId="77777777" w:rsidTr="009A239A">
        <w:trPr>
          <w:trHeight w:val="432"/>
        </w:trPr>
        <w:tc>
          <w:tcPr>
            <w:tcW w:w="3235" w:type="dxa"/>
            <w:tcBorders>
              <w:top w:val="single" w:sz="4" w:space="0" w:color="auto"/>
              <w:left w:val="single" w:sz="4" w:space="0" w:color="auto"/>
              <w:bottom w:val="single" w:sz="4" w:space="0" w:color="auto"/>
              <w:right w:val="single" w:sz="4" w:space="0" w:color="auto"/>
            </w:tcBorders>
            <w:vAlign w:val="center"/>
            <w:hideMark/>
          </w:tcPr>
          <w:p w14:paraId="1D7B6034" w14:textId="77777777" w:rsidR="009A239A" w:rsidRPr="0055613A" w:rsidRDefault="009A239A" w:rsidP="009A239A">
            <w:pPr>
              <w:spacing w:after="0" w:line="240" w:lineRule="auto"/>
              <w:rPr>
                <w:rFonts w:ascii="Calibri" w:eastAsia="Times New Roman" w:hAnsi="Calibri" w:cs="Calibri"/>
                <w:sz w:val="20"/>
                <w:szCs w:val="20"/>
              </w:rPr>
            </w:pPr>
            <w:proofErr w:type="spellStart"/>
            <w:r w:rsidRPr="0055613A">
              <w:rPr>
                <w:rFonts w:ascii="Calibri" w:eastAsia="Times New Roman" w:hAnsi="Calibri" w:cs="Calibri"/>
                <w:sz w:val="20"/>
                <w:szCs w:val="20"/>
              </w:rPr>
              <w:t>BBgBarc</w:t>
            </w:r>
            <w:proofErr w:type="spellEnd"/>
            <w:r w:rsidRPr="0055613A">
              <w:rPr>
                <w:rFonts w:ascii="Calibri" w:eastAsia="Times New Roman" w:hAnsi="Calibri" w:cs="Calibri"/>
                <w:sz w:val="20"/>
                <w:szCs w:val="20"/>
              </w:rPr>
              <w:t xml:space="preserve"> US Corporate Invest Grade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126670F"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6.22%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4C7ED1"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-3.69%</w:t>
            </w:r>
          </w:p>
        </w:tc>
      </w:tr>
      <w:tr w:rsidR="009A239A" w:rsidRPr="0055613A" w14:paraId="497BB17E" w14:textId="77777777" w:rsidTr="009A239A">
        <w:trPr>
          <w:trHeight w:val="432"/>
        </w:trPr>
        <w:tc>
          <w:tcPr>
            <w:tcW w:w="3235" w:type="dxa"/>
            <w:tcBorders>
              <w:top w:val="single" w:sz="4" w:space="0" w:color="auto"/>
              <w:left w:val="single" w:sz="4" w:space="0" w:color="auto"/>
              <w:bottom w:val="single" w:sz="4" w:space="0" w:color="auto"/>
              <w:right w:val="single" w:sz="4" w:space="0" w:color="auto"/>
            </w:tcBorders>
            <w:vAlign w:val="center"/>
          </w:tcPr>
          <w:p w14:paraId="23B4DAF6" w14:textId="77777777" w:rsidR="009A239A" w:rsidRPr="0055613A" w:rsidRDefault="009A239A" w:rsidP="009A239A">
            <w:pPr>
              <w:spacing w:after="0" w:line="240" w:lineRule="auto"/>
              <w:rPr>
                <w:rFonts w:ascii="Calibri" w:eastAsia="Times New Roman" w:hAnsi="Calibri" w:cs="Calibri"/>
                <w:sz w:val="20"/>
                <w:szCs w:val="20"/>
              </w:rPr>
            </w:pPr>
            <w:proofErr w:type="spellStart"/>
            <w:r w:rsidRPr="0055613A">
              <w:rPr>
                <w:rFonts w:ascii="Calibri" w:eastAsia="Times New Roman" w:hAnsi="Calibri" w:cs="Calibri"/>
                <w:sz w:val="20"/>
                <w:szCs w:val="20"/>
              </w:rPr>
              <w:t>BBgBarc</w:t>
            </w:r>
            <w:proofErr w:type="spellEnd"/>
            <w:r w:rsidRPr="0055613A">
              <w:rPr>
                <w:rFonts w:ascii="Calibri" w:eastAsia="Times New Roman" w:hAnsi="Calibri" w:cs="Calibri"/>
                <w:sz w:val="20"/>
                <w:szCs w:val="20"/>
              </w:rPr>
              <w:t xml:space="preserve"> US Corporate High Yield</w:t>
            </w:r>
          </w:p>
        </w:tc>
        <w:tc>
          <w:tcPr>
            <w:tcW w:w="1080" w:type="dxa"/>
            <w:tcBorders>
              <w:top w:val="single" w:sz="4" w:space="0" w:color="auto"/>
              <w:left w:val="single" w:sz="4" w:space="0" w:color="auto"/>
              <w:bottom w:val="single" w:sz="4" w:space="0" w:color="auto"/>
              <w:right w:val="single" w:sz="4" w:space="0" w:color="auto"/>
            </w:tcBorders>
            <w:vAlign w:val="center"/>
          </w:tcPr>
          <w:p w14:paraId="6C40C23E"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8.08%</w:t>
            </w:r>
          </w:p>
        </w:tc>
        <w:tc>
          <w:tcPr>
            <w:tcW w:w="1350" w:type="dxa"/>
            <w:tcBorders>
              <w:top w:val="single" w:sz="4" w:space="0" w:color="auto"/>
              <w:left w:val="single" w:sz="4" w:space="0" w:color="auto"/>
              <w:bottom w:val="single" w:sz="4" w:space="0" w:color="auto"/>
              <w:right w:val="single" w:sz="4" w:space="0" w:color="auto"/>
            </w:tcBorders>
            <w:vAlign w:val="center"/>
          </w:tcPr>
          <w:p w14:paraId="0B68AB2E"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-2.57%</w:t>
            </w:r>
          </w:p>
        </w:tc>
      </w:tr>
      <w:bookmarkEnd w:id="0"/>
    </w:tbl>
    <w:p w14:paraId="120AEC58" w14:textId="30EC6214" w:rsidR="005A779F" w:rsidRDefault="005A779F" w:rsidP="002841B8">
      <w:pPr>
        <w:spacing w:after="0" w:line="240" w:lineRule="auto"/>
        <w:jc w:val="center"/>
        <w:rPr>
          <w:b/>
          <w:bCs/>
        </w:rPr>
      </w:pPr>
    </w:p>
    <w:tbl>
      <w:tblPr>
        <w:tblpPr w:leftFromText="180" w:rightFromText="180" w:vertAnchor="text" w:horzAnchor="margin" w:tblpY="106"/>
        <w:tblW w:w="4855" w:type="dxa"/>
        <w:tblCellMar>
          <w:top w:w="15" w:type="dxa"/>
          <w:bottom w:w="15" w:type="dxa"/>
        </w:tblCellMar>
        <w:tblLook w:val="04A0" w:firstRow="1" w:lastRow="0" w:firstColumn="1" w:lastColumn="0" w:noHBand="0" w:noVBand="1"/>
      </w:tblPr>
      <w:tblGrid>
        <w:gridCol w:w="2445"/>
        <w:gridCol w:w="1150"/>
        <w:gridCol w:w="1260"/>
      </w:tblGrid>
      <w:tr w:rsidR="009A239A" w:rsidRPr="0055613A" w14:paraId="1EDDA9D6" w14:textId="77777777" w:rsidTr="009A239A">
        <w:trPr>
          <w:trHeight w:val="360"/>
        </w:trPr>
        <w:tc>
          <w:tcPr>
            <w:tcW w:w="24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C509E6" w14:textId="77777777" w:rsidR="009A239A" w:rsidRPr="0055613A" w:rsidRDefault="009A239A" w:rsidP="009A239A">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Commodity Indexes</w:t>
            </w:r>
          </w:p>
        </w:tc>
        <w:tc>
          <w:tcPr>
            <w:tcW w:w="115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99F88" w14:textId="77777777" w:rsidR="009A239A" w:rsidRPr="0055613A" w:rsidRDefault="009A239A" w:rsidP="009A239A">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Q</w:t>
            </w:r>
            <w:r>
              <w:rPr>
                <w:rFonts w:ascii="Calibri" w:eastAsia="Times New Roman" w:hAnsi="Calibri" w:cs="Calibri"/>
                <w:b/>
                <w:bCs/>
                <w:sz w:val="20"/>
                <w:szCs w:val="20"/>
              </w:rPr>
              <w:t>1</w:t>
            </w:r>
            <w:r w:rsidRPr="0055613A">
              <w:rPr>
                <w:rFonts w:ascii="Calibri" w:eastAsia="Times New Roman" w:hAnsi="Calibri" w:cs="Calibri"/>
                <w:b/>
                <w:bCs/>
                <w:sz w:val="20"/>
                <w:szCs w:val="20"/>
              </w:rPr>
              <w:t xml:space="preserve"> Return </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B0A2297" w14:textId="77777777" w:rsidR="009A239A" w:rsidRPr="0055613A" w:rsidRDefault="009A239A" w:rsidP="009A239A">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2018 Return</w:t>
            </w:r>
          </w:p>
        </w:tc>
      </w:tr>
      <w:tr w:rsidR="009A239A" w:rsidRPr="0055613A" w14:paraId="63E15AF3" w14:textId="77777777" w:rsidTr="009A239A">
        <w:trPr>
          <w:trHeight w:val="203"/>
        </w:trPr>
        <w:tc>
          <w:tcPr>
            <w:tcW w:w="2445" w:type="dxa"/>
            <w:tcBorders>
              <w:top w:val="single" w:sz="4" w:space="0" w:color="auto"/>
              <w:left w:val="single" w:sz="4" w:space="0" w:color="auto"/>
              <w:bottom w:val="single" w:sz="4" w:space="0" w:color="auto"/>
              <w:right w:val="single" w:sz="4" w:space="0" w:color="auto"/>
            </w:tcBorders>
            <w:vAlign w:val="center"/>
          </w:tcPr>
          <w:p w14:paraId="38C94C50" w14:textId="77777777" w:rsidR="009A239A" w:rsidRPr="0055613A" w:rsidRDefault="009A239A" w:rsidP="009A239A">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S&amp;P GSCI (Broad-Based Commodities)</w:t>
            </w:r>
          </w:p>
        </w:tc>
        <w:tc>
          <w:tcPr>
            <w:tcW w:w="1150" w:type="dxa"/>
            <w:tcBorders>
              <w:top w:val="single" w:sz="4" w:space="0" w:color="auto"/>
              <w:left w:val="single" w:sz="4" w:space="0" w:color="auto"/>
              <w:bottom w:val="single" w:sz="4" w:space="0" w:color="auto"/>
              <w:right w:val="single" w:sz="4" w:space="0" w:color="auto"/>
            </w:tcBorders>
            <w:vAlign w:val="center"/>
          </w:tcPr>
          <w:p w14:paraId="1D815D2D"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14.97%</w:t>
            </w:r>
          </w:p>
        </w:tc>
        <w:tc>
          <w:tcPr>
            <w:tcW w:w="1260" w:type="dxa"/>
            <w:tcBorders>
              <w:top w:val="single" w:sz="4" w:space="0" w:color="auto"/>
              <w:left w:val="single" w:sz="4" w:space="0" w:color="auto"/>
              <w:bottom w:val="single" w:sz="4" w:space="0" w:color="auto"/>
              <w:right w:val="single" w:sz="4" w:space="0" w:color="auto"/>
            </w:tcBorders>
            <w:vAlign w:val="center"/>
          </w:tcPr>
          <w:p w14:paraId="06E03F19"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-13.82%</w:t>
            </w:r>
          </w:p>
        </w:tc>
      </w:tr>
      <w:tr w:rsidR="009A239A" w:rsidRPr="0055613A" w14:paraId="13544404" w14:textId="77777777" w:rsidTr="009A239A">
        <w:trPr>
          <w:trHeight w:val="122"/>
        </w:trPr>
        <w:tc>
          <w:tcPr>
            <w:tcW w:w="2445" w:type="dxa"/>
            <w:tcBorders>
              <w:top w:val="single" w:sz="4" w:space="0" w:color="auto"/>
              <w:left w:val="single" w:sz="4" w:space="0" w:color="auto"/>
              <w:bottom w:val="single" w:sz="4" w:space="0" w:color="auto"/>
              <w:right w:val="single" w:sz="4" w:space="0" w:color="auto"/>
            </w:tcBorders>
            <w:vAlign w:val="center"/>
          </w:tcPr>
          <w:p w14:paraId="576B174F" w14:textId="77777777" w:rsidR="009A239A" w:rsidRPr="0055613A" w:rsidRDefault="009A239A" w:rsidP="009A239A">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S&amp;P GSCI Crude Oil</w:t>
            </w:r>
          </w:p>
        </w:tc>
        <w:tc>
          <w:tcPr>
            <w:tcW w:w="1150" w:type="dxa"/>
            <w:tcBorders>
              <w:top w:val="single" w:sz="4" w:space="0" w:color="auto"/>
              <w:left w:val="single" w:sz="4" w:space="0" w:color="auto"/>
              <w:bottom w:val="single" w:sz="4" w:space="0" w:color="auto"/>
              <w:right w:val="single" w:sz="4" w:space="0" w:color="auto"/>
            </w:tcBorders>
            <w:vAlign w:val="center"/>
          </w:tcPr>
          <w:p w14:paraId="426A1547"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30.68%</w:t>
            </w:r>
          </w:p>
        </w:tc>
        <w:tc>
          <w:tcPr>
            <w:tcW w:w="1260" w:type="dxa"/>
            <w:tcBorders>
              <w:top w:val="single" w:sz="4" w:space="0" w:color="auto"/>
              <w:left w:val="single" w:sz="4" w:space="0" w:color="auto"/>
              <w:bottom w:val="single" w:sz="4" w:space="0" w:color="auto"/>
              <w:right w:val="single" w:sz="4" w:space="0" w:color="auto"/>
            </w:tcBorders>
            <w:vAlign w:val="center"/>
          </w:tcPr>
          <w:p w14:paraId="7ABF2DFD"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-20.49%</w:t>
            </w:r>
          </w:p>
        </w:tc>
      </w:tr>
      <w:tr w:rsidR="009A239A" w:rsidRPr="0055613A" w14:paraId="4C162D01" w14:textId="77777777" w:rsidTr="009A239A">
        <w:trPr>
          <w:trHeight w:val="55"/>
        </w:trPr>
        <w:tc>
          <w:tcPr>
            <w:tcW w:w="2445" w:type="dxa"/>
            <w:tcBorders>
              <w:top w:val="single" w:sz="4" w:space="0" w:color="auto"/>
              <w:left w:val="single" w:sz="4" w:space="0" w:color="auto"/>
              <w:bottom w:val="single" w:sz="4" w:space="0" w:color="auto"/>
              <w:right w:val="single" w:sz="4" w:space="0" w:color="auto"/>
            </w:tcBorders>
            <w:vAlign w:val="center"/>
          </w:tcPr>
          <w:p w14:paraId="22C1FFBB" w14:textId="77777777" w:rsidR="009A239A" w:rsidRPr="0055613A" w:rsidRDefault="009A239A" w:rsidP="009A239A">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LBMA Gold Price</w:t>
            </w:r>
          </w:p>
        </w:tc>
        <w:tc>
          <w:tcPr>
            <w:tcW w:w="1150" w:type="dxa"/>
            <w:tcBorders>
              <w:top w:val="single" w:sz="4" w:space="0" w:color="auto"/>
              <w:left w:val="single" w:sz="4" w:space="0" w:color="auto"/>
              <w:bottom w:val="single" w:sz="4" w:space="0" w:color="auto"/>
              <w:right w:val="single" w:sz="4" w:space="0" w:color="auto"/>
            </w:tcBorders>
            <w:vAlign w:val="center"/>
          </w:tcPr>
          <w:p w14:paraId="077C7E35" w14:textId="77777777" w:rsidR="009A239A" w:rsidRPr="0055613A" w:rsidRDefault="009A239A" w:rsidP="009A239A">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1.26%</w:t>
            </w:r>
          </w:p>
        </w:tc>
        <w:tc>
          <w:tcPr>
            <w:tcW w:w="1260" w:type="dxa"/>
            <w:tcBorders>
              <w:top w:val="single" w:sz="4" w:space="0" w:color="auto"/>
              <w:left w:val="single" w:sz="4" w:space="0" w:color="auto"/>
              <w:bottom w:val="single" w:sz="4" w:space="0" w:color="auto"/>
              <w:right w:val="single" w:sz="4" w:space="0" w:color="auto"/>
            </w:tcBorders>
            <w:vAlign w:val="center"/>
          </w:tcPr>
          <w:p w14:paraId="4E025F7D" w14:textId="77777777" w:rsidR="009A239A" w:rsidRPr="0055613A" w:rsidRDefault="009A239A" w:rsidP="009A239A">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-0.93%</w:t>
            </w:r>
          </w:p>
        </w:tc>
      </w:tr>
    </w:tbl>
    <w:p w14:paraId="7DC12BE8" w14:textId="2D01E4E4" w:rsidR="005A779F" w:rsidRDefault="005A779F" w:rsidP="00FD53C3">
      <w:pPr>
        <w:spacing w:after="0" w:line="240" w:lineRule="auto"/>
        <w:rPr>
          <w:b/>
          <w:bCs/>
        </w:rPr>
      </w:pPr>
    </w:p>
    <w:p w14:paraId="7EE1D5E6" w14:textId="6E48C6F5" w:rsidR="005A779F" w:rsidRDefault="005A779F" w:rsidP="00FD53C3">
      <w:pPr>
        <w:spacing w:after="0" w:line="240" w:lineRule="auto"/>
        <w:rPr>
          <w:b/>
          <w:bCs/>
        </w:rPr>
      </w:pPr>
    </w:p>
    <w:p w14:paraId="4C16570D" w14:textId="101662B2" w:rsidR="005A779F" w:rsidRDefault="005A779F" w:rsidP="00FD53C3">
      <w:pPr>
        <w:spacing w:after="0" w:line="240" w:lineRule="auto"/>
        <w:rPr>
          <w:b/>
          <w:bCs/>
        </w:rPr>
      </w:pPr>
    </w:p>
    <w:p w14:paraId="3069CF69" w14:textId="01D9146C" w:rsidR="000943FA" w:rsidRPr="00C5759C" w:rsidRDefault="000943FA" w:rsidP="000943FA">
      <w:pPr>
        <w:rPr>
          <w:b/>
          <w:bCs/>
        </w:rPr>
      </w:pPr>
      <w:r>
        <w:t xml:space="preserve">Stocks rebounded strongly in the first quarter thanks to </w:t>
      </w:r>
      <w:r w:rsidR="003D6E4F">
        <w:t>a combination of</w:t>
      </w:r>
      <w:r>
        <w:t xml:space="preserve"> improv</w:t>
      </w:r>
      <w:r w:rsidR="00383888">
        <w:t>ing</w:t>
      </w:r>
      <w:r>
        <w:t xml:space="preserve"> U.S.-China trade relations, the Federal Reserve halting interest rate increases, and a</w:t>
      </w:r>
      <w:r w:rsidR="00383888">
        <w:t xml:space="preserve"> better</w:t>
      </w:r>
      <w:r>
        <w:t xml:space="preserve"> outlook for corporate earnings. The S&amp;P 500 finished the first quarter of 2019 with the best quarterly return since 2009.</w:t>
      </w:r>
    </w:p>
    <w:p w14:paraId="476C2797" w14:textId="7F720790" w:rsidR="00C736CD" w:rsidRDefault="00C736CD" w:rsidP="00C736CD">
      <w:r>
        <w:t xml:space="preserve">Starting with </w:t>
      </w:r>
      <w:r w:rsidR="003D6E4F">
        <w:t xml:space="preserve">U.S.-China </w:t>
      </w:r>
      <w:r>
        <w:t>trade</w:t>
      </w:r>
      <w:r w:rsidR="003D6E4F">
        <w:t xml:space="preserve"> negotiations</w:t>
      </w:r>
      <w:r>
        <w:t>, significant progress</w:t>
      </w:r>
      <w:r w:rsidR="00F54007">
        <w:t xml:space="preserve"> was made towards a new deal</w:t>
      </w:r>
      <w:r w:rsidR="00E32CDD">
        <w:t xml:space="preserve"> over the past three months, highlighted by the removal of the March 1</w:t>
      </w:r>
      <w:r w:rsidR="003D6E4F" w:rsidRPr="00812369">
        <w:rPr>
          <w:vertAlign w:val="superscript"/>
        </w:rPr>
        <w:t>st</w:t>
      </w:r>
      <w:r w:rsidR="003D6E4F">
        <w:t xml:space="preserve"> </w:t>
      </w:r>
      <w:r w:rsidR="00E32CDD">
        <w:t>trade deal deadline imposed by the administration back in late November.</w:t>
      </w:r>
      <w:r>
        <w:t xml:space="preserve"> </w:t>
      </w:r>
      <w:r w:rsidR="003D6E4F">
        <w:t xml:space="preserve">Most </w:t>
      </w:r>
      <w:r w:rsidR="00E32CDD">
        <w:t xml:space="preserve">of that </w:t>
      </w:r>
      <w:r>
        <w:t>progress</w:t>
      </w:r>
      <w:r w:rsidR="00E32CDD">
        <w:t xml:space="preserve"> occurred in January and</w:t>
      </w:r>
      <w:r>
        <w:t xml:space="preserve"> </w:t>
      </w:r>
      <w:r w:rsidR="00871B74">
        <w:t xml:space="preserve">that </w:t>
      </w:r>
      <w:r>
        <w:t>was</w:t>
      </w:r>
      <w:r w:rsidR="00E32CDD">
        <w:t xml:space="preserve"> one of the</w:t>
      </w:r>
      <w:r>
        <w:t xml:space="preserve"> initial catalyst</w:t>
      </w:r>
      <w:r w:rsidR="00E32CDD">
        <w:t>s</w:t>
      </w:r>
      <w:r>
        <w:t xml:space="preserve"> for the first quarter</w:t>
      </w:r>
      <w:r w:rsidR="003D6E4F">
        <w:t xml:space="preserve"> rally in stocks</w:t>
      </w:r>
      <w:r>
        <w:t>.</w:t>
      </w:r>
      <w:r w:rsidR="003D6E4F">
        <w:t xml:space="preserve"> </w:t>
      </w:r>
    </w:p>
    <w:p w14:paraId="7F608E7C" w14:textId="5F089A75" w:rsidR="00C736CD" w:rsidRDefault="7B6DF1B5" w:rsidP="00C736CD">
      <w:r>
        <w:lastRenderedPageBreak/>
        <w:t xml:space="preserve">Turning to the Fed, perhaps the most impactful event of </w:t>
      </w:r>
      <w:r w:rsidR="003D6E4F">
        <w:t>Q1</w:t>
      </w:r>
      <w:r>
        <w:t xml:space="preserve"> was the Fed meeting</w:t>
      </w:r>
      <w:r w:rsidR="00741595">
        <w:t xml:space="preserve"> </w:t>
      </w:r>
      <w:r w:rsidR="00D83D6F">
        <w:t xml:space="preserve">that took place </w:t>
      </w:r>
      <w:r>
        <w:t>on January 29</w:t>
      </w:r>
      <w:r w:rsidRPr="7B6DF1B5">
        <w:rPr>
          <w:vertAlign w:val="superscript"/>
        </w:rPr>
        <w:t>th</w:t>
      </w:r>
      <w:r>
        <w:t xml:space="preserve"> and 30</w:t>
      </w:r>
      <w:r w:rsidRPr="7B6DF1B5">
        <w:rPr>
          <w:vertAlign w:val="superscript"/>
        </w:rPr>
        <w:t>th</w:t>
      </w:r>
      <w:r w:rsidR="003D6E4F">
        <w:t xml:space="preserve"> when</w:t>
      </w:r>
      <w:r>
        <w:t xml:space="preserve"> the Federal Open Market Committee opted to hold interest rates steady, but also stated that it would be “patient” regarding further rate increases. This shift, which according to the Fed was in response to global economic uncertainty, helped extend </w:t>
      </w:r>
      <w:r w:rsidR="00F54007">
        <w:t xml:space="preserve">the markets’ </w:t>
      </w:r>
      <w:r>
        <w:t xml:space="preserve">gains </w:t>
      </w:r>
      <w:r w:rsidR="00871B74">
        <w:t xml:space="preserve">from early January. </w:t>
      </w:r>
      <w:r w:rsidR="0014411A">
        <w:t xml:space="preserve">The expected </w:t>
      </w:r>
      <w:r w:rsidR="00871B74">
        <w:t>“pause” in rate hikes was later confirmed by the Fed at the March meeting</w:t>
      </w:r>
      <w:r w:rsidR="0014411A">
        <w:t xml:space="preserve"> as </w:t>
      </w:r>
      <w:r w:rsidR="00871B74">
        <w:t>official projections for interest rates (known as the “dot plot”) showed no more rate hikes are expected in 2019. T</w:t>
      </w:r>
      <w:r>
        <w:t xml:space="preserve">he Fed </w:t>
      </w:r>
      <w:r w:rsidR="00871B74">
        <w:t>keeping interest rates steady</w:t>
      </w:r>
      <w:r>
        <w:t xml:space="preserve"> should relieve pressure on the economy, and we </w:t>
      </w:r>
      <w:r w:rsidR="00871B74">
        <w:t xml:space="preserve">have already seen some </w:t>
      </w:r>
      <w:r>
        <w:t xml:space="preserve">positive effects of that </w:t>
      </w:r>
      <w:r w:rsidR="00871B74">
        <w:t>move via</w:t>
      </w:r>
      <w:r>
        <w:t xml:space="preserve"> a </w:t>
      </w:r>
      <w:r w:rsidR="00F54007">
        <w:t>decline</w:t>
      </w:r>
      <w:r>
        <w:t xml:space="preserve"> </w:t>
      </w:r>
      <w:r w:rsidR="0014411A">
        <w:t xml:space="preserve">in </w:t>
      </w:r>
      <w:r>
        <w:t xml:space="preserve">mortgage rates and a rebound in housing </w:t>
      </w:r>
      <w:r w:rsidR="0014411A">
        <w:t xml:space="preserve">sales in </w:t>
      </w:r>
      <w:r>
        <w:t>the first quarter.</w:t>
      </w:r>
    </w:p>
    <w:p w14:paraId="0C43CDA8" w14:textId="13FA5AD3" w:rsidR="00C736CD" w:rsidRDefault="7B6DF1B5" w:rsidP="00C736CD">
      <w:r>
        <w:t>Finally, on a corporate level, earnings results were better than feared</w:t>
      </w:r>
      <w:r w:rsidR="0014411A">
        <w:t xml:space="preserve"> in the fourth quarter of 2018</w:t>
      </w:r>
      <w:r>
        <w:t xml:space="preserve">.  We can see that most clearly in the </w:t>
      </w:r>
      <w:r w:rsidR="0014411A">
        <w:t xml:space="preserve">market </w:t>
      </w:r>
      <w:r>
        <w:t xml:space="preserve">reactions </w:t>
      </w:r>
      <w:r w:rsidR="0014411A">
        <w:t xml:space="preserve">to </w:t>
      </w:r>
      <w:r>
        <w:t>companies that posted disappointing earnings results. According to the research firm FactSet, S&amp;P 500 companies saw the best</w:t>
      </w:r>
      <w:r w:rsidR="0014411A">
        <w:t xml:space="preserve"> stock</w:t>
      </w:r>
      <w:r>
        <w:t xml:space="preserve"> price reaction to negative earnings per share surprises in nine years.  Companies that </w:t>
      </w:r>
      <w:r w:rsidR="0014411A">
        <w:t>missed analysts’ earnings expectations</w:t>
      </w:r>
      <w:r>
        <w:t xml:space="preserve">, on average, </w:t>
      </w:r>
      <w:r w:rsidR="0014411A">
        <w:t xml:space="preserve">fell </w:t>
      </w:r>
      <w:r>
        <w:t>just 0.40% during the most recent reporting period, compared to an average 2.6% dec</w:t>
      </w:r>
      <w:r w:rsidR="00383888">
        <w:t>line</w:t>
      </w:r>
      <w:r>
        <w:t xml:space="preserve"> o</w:t>
      </w:r>
      <w:r w:rsidR="0014411A">
        <w:t>ver</w:t>
      </w:r>
      <w:r>
        <w:t xml:space="preserve"> the past five years.  </w:t>
      </w:r>
      <w:r w:rsidR="00C736CD">
        <w:t xml:space="preserve">Additionally, more than 70% of S&amp;P 500 companies reported earnings that beat estimates, while over 60% of companies reported stronger than expected revenues.  Put plainly, </w:t>
      </w:r>
      <w:r w:rsidR="0014411A">
        <w:t>an elevated number of</w:t>
      </w:r>
      <w:r w:rsidR="00C736CD">
        <w:t xml:space="preserve"> bad earnings results were expected by the markets, and the lack of a continued decline in stocks with disappointing earnings implies the results were not as bad as feared.</w:t>
      </w:r>
    </w:p>
    <w:p w14:paraId="20354E1F" w14:textId="36FCBDDF" w:rsidR="00C736CD" w:rsidRDefault="00871B74" w:rsidP="00C736CD">
      <w:r>
        <w:t xml:space="preserve">However, while there was </w:t>
      </w:r>
      <w:r w:rsidR="0014411A">
        <w:t xml:space="preserve">clearly </w:t>
      </w:r>
      <w:r>
        <w:t>more good news than bad during the first quarter, it would be a mistake to think that the economic “coast is clear.”  As such, we think</w:t>
      </w:r>
      <w:r w:rsidR="7B6DF1B5">
        <w:t xml:space="preserve"> it would be </w:t>
      </w:r>
      <w:r w:rsidR="00F54007">
        <w:t>premature</w:t>
      </w:r>
      <w:r w:rsidR="7B6DF1B5">
        <w:t xml:space="preserve"> to expect the second quarter</w:t>
      </w:r>
      <w:r w:rsidR="00920B6F">
        <w:t xml:space="preserve"> to</w:t>
      </w:r>
      <w:r w:rsidR="7B6DF1B5">
        <w:t xml:space="preserve"> </w:t>
      </w:r>
      <w:r w:rsidR="00F54007">
        <w:t>produce returns</w:t>
      </w:r>
      <w:r w:rsidR="00741595">
        <w:t xml:space="preserve"> </w:t>
      </w:r>
      <w:r w:rsidR="00383888">
        <w:t>similar</w:t>
      </w:r>
      <w:r w:rsidR="00D83D6F">
        <w:t xml:space="preserve"> to the first quarter </w:t>
      </w:r>
      <w:r w:rsidR="7B6DF1B5">
        <w:t>(as we all know, past performance is not indicative of future results).</w:t>
      </w:r>
    </w:p>
    <w:p w14:paraId="2D21BE4A" w14:textId="1B5CB7FD" w:rsidR="00871B74" w:rsidRDefault="00F54007" w:rsidP="00C736CD">
      <w:r>
        <w:t xml:space="preserve">While there was real improvement in </w:t>
      </w:r>
      <w:r w:rsidR="00920B6F">
        <w:t xml:space="preserve">U.S.-China </w:t>
      </w:r>
      <w:r>
        <w:t>trade</w:t>
      </w:r>
      <w:r w:rsidR="00920B6F">
        <w:t xml:space="preserve"> negotiations</w:t>
      </w:r>
      <w:r>
        <w:t>, Fed policy</w:t>
      </w:r>
      <w:r w:rsidR="00920B6F">
        <w:t xml:space="preserve"> outlook</w:t>
      </w:r>
      <w:r>
        <w:t xml:space="preserve"> and earnings expectations, e</w:t>
      </w:r>
      <w:r w:rsidR="7B6DF1B5">
        <w:t>conomic data</w:t>
      </w:r>
      <w:r>
        <w:t xml:space="preserve"> in the first quarter was disappointing and</w:t>
      </w:r>
      <w:r w:rsidR="7B6DF1B5">
        <w:t xml:space="preserve"> continued to </w:t>
      </w:r>
      <w:r w:rsidR="00871B74">
        <w:t>show a loss of positive momentum not just in the United States, but globally.</w:t>
      </w:r>
      <w:r w:rsidR="7B6DF1B5">
        <w:t xml:space="preserve">  The current </w:t>
      </w:r>
      <w:r w:rsidR="00920B6F">
        <w:t xml:space="preserve">estimate </w:t>
      </w:r>
      <w:r w:rsidR="7B6DF1B5">
        <w:t>for first quarter GDP</w:t>
      </w:r>
      <w:r>
        <w:t xml:space="preserve"> is </w:t>
      </w:r>
      <w:r w:rsidR="00661173">
        <w:t>1.7</w:t>
      </w:r>
      <w:r>
        <w:t>%, well below the 2.2% growth in the fourth quarter.</w:t>
      </w:r>
      <w:r w:rsidR="7B6DF1B5">
        <w:t xml:space="preserve"> </w:t>
      </w:r>
      <w:r w:rsidR="00A76FF5">
        <w:t xml:space="preserve"> Internationally, European and Chinese manufacturing </w:t>
      </w:r>
      <w:r w:rsidR="00920B6F">
        <w:t xml:space="preserve">data </w:t>
      </w:r>
      <w:r w:rsidR="00A76FF5">
        <w:t>showed outright contraction in activity</w:t>
      </w:r>
      <w:r w:rsidR="00920B6F">
        <w:t xml:space="preserve"> in Q1</w:t>
      </w:r>
      <w:r w:rsidR="00A76FF5">
        <w:t xml:space="preserve">, while continued Brexit uncertainty is acting as a headwind on the British economy.  </w:t>
      </w:r>
    </w:p>
    <w:p w14:paraId="3802B58F" w14:textId="461DC488" w:rsidR="00C736CD" w:rsidRDefault="00871B74" w:rsidP="00C736CD">
      <w:r>
        <w:t xml:space="preserve">Finally, many parts of the yield curve have inverted, meaning </w:t>
      </w:r>
      <w:r w:rsidR="00920B6F">
        <w:t xml:space="preserve">Treasury </w:t>
      </w:r>
      <w:r>
        <w:t xml:space="preserve">yields are higher on </w:t>
      </w:r>
      <w:r w:rsidR="00920B6F">
        <w:t xml:space="preserve">short </w:t>
      </w:r>
      <w:r>
        <w:t xml:space="preserve">term debt </w:t>
      </w:r>
      <w:r w:rsidR="00900F96">
        <w:t>compared to</w:t>
      </w:r>
      <w:r>
        <w:t xml:space="preserve"> longer dated maturities. In the past, that </w:t>
      </w:r>
      <w:r w:rsidR="00920B6F">
        <w:t xml:space="preserve">dynamic </w:t>
      </w:r>
      <w:r>
        <w:t xml:space="preserve">has </w:t>
      </w:r>
      <w:r w:rsidR="008938C4">
        <w:t>sometimes</w:t>
      </w:r>
      <w:r w:rsidR="00920B6F">
        <w:t xml:space="preserve"> preceded</w:t>
      </w:r>
      <w:r>
        <w:t xml:space="preserve"> slower economic growth and lower inflation, neither of which are positive for stocks.   </w:t>
      </w:r>
      <w:r w:rsidR="7B6DF1B5">
        <w:t xml:space="preserve"> </w:t>
      </w:r>
    </w:p>
    <w:p w14:paraId="14A5CFBF" w14:textId="7B39E336" w:rsidR="00C736CD" w:rsidRDefault="7B6DF1B5" w:rsidP="00C736CD">
      <w:r>
        <w:t xml:space="preserve">In sum, the market’s performance during the first quarter was a welcomed sight following the volatility and un-nerving declines </w:t>
      </w:r>
      <w:r w:rsidR="00920B6F">
        <w:t xml:space="preserve">in </w:t>
      </w:r>
      <w:r>
        <w:t>the fourth quarter of 2018. And, we are pleased to say there has been real improvement in the macro-economic outlook for markets</w:t>
      </w:r>
      <w:r w:rsidR="00A76FF5">
        <w:t xml:space="preserve">, for the reasons listed </w:t>
      </w:r>
      <w:r w:rsidR="00920B6F">
        <w:t>above</w:t>
      </w:r>
      <w:r>
        <w:t xml:space="preserve">.  </w:t>
      </w:r>
    </w:p>
    <w:p w14:paraId="381F9094" w14:textId="76CE9795" w:rsidR="00C736CD" w:rsidRDefault="7B6DF1B5" w:rsidP="00C736CD">
      <w:r>
        <w:t xml:space="preserve">But while the outlook for markets has improved, </w:t>
      </w:r>
      <w:r w:rsidR="00741595">
        <w:t>notable risks remain</w:t>
      </w:r>
      <w:r w:rsidR="00A76FF5">
        <w:t>. W</w:t>
      </w:r>
      <w:r>
        <w:t>e continue to expect</w:t>
      </w:r>
      <w:r w:rsidR="006C7D34">
        <w:t>,</w:t>
      </w:r>
      <w:r>
        <w:t xml:space="preserve"> and</w:t>
      </w:r>
      <w:r w:rsidR="00A76FF5">
        <w:t xml:space="preserve"> are</w:t>
      </w:r>
      <w:r>
        <w:t xml:space="preserve"> prepare</w:t>
      </w:r>
      <w:r w:rsidR="00A76FF5">
        <w:t>d</w:t>
      </w:r>
      <w:r>
        <w:t xml:space="preserve"> for, </w:t>
      </w:r>
      <w:r w:rsidR="00AA465C">
        <w:t xml:space="preserve">more </w:t>
      </w:r>
      <w:r>
        <w:t xml:space="preserve">volatility within the context </w:t>
      </w:r>
      <w:r w:rsidR="00385329">
        <w:t>of a still on-going</w:t>
      </w:r>
      <w:r w:rsidR="00AA465C">
        <w:t>,</w:t>
      </w:r>
      <w:r w:rsidR="00385329">
        <w:t xml:space="preserve"> multiyear bull market</w:t>
      </w:r>
      <w:r>
        <w:t>.</w:t>
      </w:r>
    </w:p>
    <w:p w14:paraId="394F14BC" w14:textId="14382B05" w:rsidR="00FD53C3" w:rsidRDefault="00FD53C3" w:rsidP="00FD53C3">
      <w:pPr>
        <w:spacing w:after="0" w:line="240" w:lineRule="auto"/>
      </w:pPr>
    </w:p>
    <w:p w14:paraId="49D725FF" w14:textId="6DED1CF5" w:rsidR="0097036E" w:rsidRDefault="0097036E" w:rsidP="002841B8">
      <w:pPr>
        <w:pStyle w:val="Heading2"/>
      </w:pPr>
      <w:r>
        <w:t>1</w:t>
      </w:r>
      <w:r w:rsidRPr="0097036E">
        <w:rPr>
          <w:vertAlign w:val="superscript"/>
        </w:rPr>
        <w:t>st</w:t>
      </w:r>
      <w:r>
        <w:t xml:space="preserve"> Quarter Performance Review – A Solid Rebound </w:t>
      </w:r>
      <w:r w:rsidR="00A76FF5">
        <w:t>t</w:t>
      </w:r>
      <w:r>
        <w:t xml:space="preserve">o Start </w:t>
      </w:r>
      <w:r w:rsidR="00A76FF5">
        <w:t>t</w:t>
      </w:r>
      <w:r>
        <w:t>he Year</w:t>
      </w:r>
    </w:p>
    <w:p w14:paraId="74A4FC1A" w14:textId="78687A43" w:rsidR="0097036E" w:rsidRDefault="0097036E" w:rsidP="00FD53C3">
      <w:pPr>
        <w:spacing w:after="0" w:line="240" w:lineRule="auto"/>
        <w:rPr>
          <w:u w:val="single"/>
        </w:rPr>
      </w:pPr>
    </w:p>
    <w:p w14:paraId="4206141F" w14:textId="7F8F05BB" w:rsidR="00C736CD" w:rsidRDefault="7B6DF1B5" w:rsidP="00FD53C3">
      <w:pPr>
        <w:spacing w:after="0" w:line="240" w:lineRule="auto"/>
      </w:pPr>
      <w:r>
        <w:t>The major U.S. stock indices registered the</w:t>
      </w:r>
      <w:r w:rsidR="00205D5B">
        <w:t>ir</w:t>
      </w:r>
      <w:r>
        <w:t xml:space="preserve"> best quarterly performance in </w:t>
      </w:r>
      <w:r w:rsidR="00E3378D">
        <w:t>a decade</w:t>
      </w:r>
      <w:r>
        <w:t xml:space="preserve"> in </w:t>
      </w:r>
      <w:r w:rsidR="00E3378D">
        <w:t>Q1’19</w:t>
      </w:r>
      <w:r w:rsidR="00C32378">
        <w:t>,</w:t>
      </w:r>
      <w:r>
        <w:t xml:space="preserve"> </w:t>
      </w:r>
      <w:r w:rsidR="00E3378D">
        <w:t>thanks</w:t>
      </w:r>
      <w:r w:rsidR="008938C4">
        <w:t xml:space="preserve"> in part</w:t>
      </w:r>
      <w:r w:rsidR="00E3378D">
        <w:t xml:space="preserve"> to less restrictive Fed policy and positive progress on the U.S.-China trade conflict. A</w:t>
      </w:r>
      <w:r>
        <w:t>s a result, investors saw broad gains across most market segments and sectors</w:t>
      </w:r>
      <w:r w:rsidR="00E3378D">
        <w:t xml:space="preserve"> as</w:t>
      </w:r>
      <w:r>
        <w:t xml:space="preserve"> U.S. stocks log</w:t>
      </w:r>
      <w:r w:rsidR="00E3378D">
        <w:t>ged</w:t>
      </w:r>
      <w:r>
        <w:t xml:space="preserve"> the best </w:t>
      </w:r>
      <w:r w:rsidR="00A73419">
        <w:t>quarterly</w:t>
      </w:r>
      <w:r>
        <w:t xml:space="preserve"> performance since </w:t>
      </w:r>
      <w:r w:rsidR="00385329">
        <w:t>2009</w:t>
      </w:r>
      <w:r>
        <w:t>.</w:t>
      </w:r>
    </w:p>
    <w:p w14:paraId="4800976E" w14:textId="77777777" w:rsidR="00C736CD" w:rsidRDefault="00C736CD" w:rsidP="00FD53C3">
      <w:pPr>
        <w:spacing w:after="0" w:line="240" w:lineRule="auto"/>
      </w:pPr>
    </w:p>
    <w:p w14:paraId="5B27672E" w14:textId="14BC66F6" w:rsidR="0097036E" w:rsidRDefault="00C736CD" w:rsidP="00FD53C3">
      <w:pPr>
        <w:spacing w:after="0" w:line="240" w:lineRule="auto"/>
      </w:pPr>
      <w:r>
        <w:t>By market capitalization, small caps outperformed large caps, which is a reversal of</w:t>
      </w:r>
      <w:r w:rsidR="00900F96">
        <w:t xml:space="preserve"> from</w:t>
      </w:r>
      <w:r>
        <w:t xml:space="preserve"> </w:t>
      </w:r>
      <w:r w:rsidR="008D6B79">
        <w:t xml:space="preserve">the fourth quarter. </w:t>
      </w:r>
      <w:r w:rsidR="00E3378D">
        <w:t>The</w:t>
      </w:r>
      <w:r w:rsidR="008D6B79">
        <w:t xml:space="preserve"> reduction in global trade tensions, combined with the Federal Reserve signaling no more interest rate increases in 2019</w:t>
      </w:r>
      <w:r w:rsidR="00383888">
        <w:t>,</w:t>
      </w:r>
      <w:r w:rsidR="008D6B79">
        <w:t xml:space="preserve"> helped small caps to outperform large caps.  From an investment style standpoint, growth outperformed value</w:t>
      </w:r>
      <w:r w:rsidR="00E3378D">
        <w:t xml:space="preserve"> mostly due to strong tech sector returns in Q1</w:t>
      </w:r>
      <w:r w:rsidR="008D6B79">
        <w:t xml:space="preserve">, </w:t>
      </w:r>
      <w:r w:rsidR="00385329">
        <w:t xml:space="preserve">which is also a </w:t>
      </w:r>
      <w:r w:rsidR="008D6B79">
        <w:t>reversal from the fourth quarter</w:t>
      </w:r>
      <w:r w:rsidR="00385329">
        <w:t>.</w:t>
      </w:r>
    </w:p>
    <w:p w14:paraId="4E6835AA" w14:textId="7045CEE5" w:rsidR="008D6B79" w:rsidRDefault="008D6B79" w:rsidP="00FD53C3">
      <w:pPr>
        <w:spacing w:after="0" w:line="240" w:lineRule="auto"/>
      </w:pPr>
    </w:p>
    <w:p w14:paraId="411F1EC7" w14:textId="7F25D4E8" w:rsidR="008D6B79" w:rsidRDefault="008D6B79" w:rsidP="00FD53C3">
      <w:pPr>
        <w:spacing w:after="0" w:line="240" w:lineRule="auto"/>
      </w:pPr>
      <w:r>
        <w:t xml:space="preserve">On a sector level, all </w:t>
      </w:r>
      <w:r w:rsidR="00661173">
        <w:t xml:space="preserve">11 </w:t>
      </w:r>
      <w:r>
        <w:t>S&amp;P 500 Index sectors finished the first quarter with positive returns</w:t>
      </w:r>
      <w:r w:rsidR="00E3378D">
        <w:t xml:space="preserve"> however tech and real estate sectors were the notable outperformers</w:t>
      </w:r>
      <w:r>
        <w:t>.</w:t>
      </w:r>
      <w:r w:rsidR="00E3378D">
        <w:t xml:space="preserve"> </w:t>
      </w:r>
      <w:r>
        <w:t xml:space="preserve">Tech was driven higher by improvement in the trade outlook, while the </w:t>
      </w:r>
      <w:r>
        <w:lastRenderedPageBreak/>
        <w:t xml:space="preserve">real estate sector benefitted from a decline in mortgage and interest rates following the Fed’s January and March meetings.  </w:t>
      </w:r>
    </w:p>
    <w:p w14:paraId="7B805DF7" w14:textId="06A1D315" w:rsidR="008D6B79" w:rsidRDefault="008D6B79" w:rsidP="00FD53C3">
      <w:pPr>
        <w:spacing w:after="0" w:line="240" w:lineRule="auto"/>
      </w:pPr>
    </w:p>
    <w:p w14:paraId="36A58CD3" w14:textId="111572CF" w:rsidR="00FD53C3" w:rsidRDefault="00E3378D" w:rsidP="00FD53C3">
      <w:pPr>
        <w:spacing w:after="0" w:line="240" w:lineRule="auto"/>
      </w:pPr>
      <w:r>
        <w:t>On the contrary</w:t>
      </w:r>
      <w:r w:rsidR="008D6B79">
        <w:t>, historicall</w:t>
      </w:r>
      <w:r>
        <w:t xml:space="preserve">y </w:t>
      </w:r>
      <w:r w:rsidR="008D6B79">
        <w:t xml:space="preserve">defensive sectors underperformed in the first quarter but still finished with positive returns.  Consumer staples, healthcare and financials lagged the S&amp;P 500 as investors rotated to more growth-oriented sectors during the previous three months.  </w:t>
      </w:r>
    </w:p>
    <w:p w14:paraId="7EE23661" w14:textId="77777777" w:rsidR="002841B8" w:rsidRPr="0055613A" w:rsidRDefault="002841B8" w:rsidP="00FD53C3">
      <w:pPr>
        <w:spacing w:after="0" w:line="240" w:lineRule="auto"/>
      </w:pPr>
    </w:p>
    <w:p w14:paraId="6B24D299" w14:textId="09C95D1A" w:rsidR="00FD53C3" w:rsidRPr="0055613A" w:rsidRDefault="00FD53C3" w:rsidP="00FD53C3">
      <w:pPr>
        <w:spacing w:after="0" w:line="240" w:lineRule="auto"/>
        <w:rPr>
          <w:rFonts w:cstheme="minorHAnsi"/>
        </w:rPr>
      </w:pPr>
      <w:r w:rsidRPr="0055613A">
        <w:rPr>
          <w:rFonts w:cstheme="minorHAnsi"/>
        </w:rPr>
        <w:t xml:space="preserve">Looking </w:t>
      </w:r>
      <w:r w:rsidR="008D6B79">
        <w:rPr>
          <w:rFonts w:cstheme="minorHAnsi"/>
        </w:rPr>
        <w:t>internationally, foreign markets also had a strong start to 2019, but as has been the case frequently over the past year, foreign markets again underperformed U.S.</w:t>
      </w:r>
      <w:r w:rsidR="00CE0868">
        <w:rPr>
          <w:rFonts w:cstheme="minorHAnsi"/>
        </w:rPr>
        <w:t xml:space="preserve"> </w:t>
      </w:r>
      <w:r w:rsidR="00385329">
        <w:rPr>
          <w:rFonts w:cstheme="minorHAnsi"/>
        </w:rPr>
        <w:t>markets</w:t>
      </w:r>
      <w:r w:rsidR="00E3378D">
        <w:rPr>
          <w:rFonts w:cstheme="minorHAnsi"/>
        </w:rPr>
        <w:t>,</w:t>
      </w:r>
      <w:r w:rsidR="00385329">
        <w:rPr>
          <w:rFonts w:cstheme="minorHAnsi"/>
        </w:rPr>
        <w:t xml:space="preserve"> </w:t>
      </w:r>
      <w:r w:rsidR="009866F5">
        <w:rPr>
          <w:rFonts w:cstheme="minorHAnsi"/>
        </w:rPr>
        <w:t>in part because</w:t>
      </w:r>
      <w:r w:rsidR="00CE0868">
        <w:rPr>
          <w:rFonts w:cstheme="minorHAnsi"/>
        </w:rPr>
        <w:t xml:space="preserve"> economic readings</w:t>
      </w:r>
      <w:r w:rsidR="00385329">
        <w:rPr>
          <w:rFonts w:cstheme="minorHAnsi"/>
        </w:rPr>
        <w:t xml:space="preserve"> from </w:t>
      </w:r>
      <w:r w:rsidR="00CE0868">
        <w:rPr>
          <w:rFonts w:cstheme="minorHAnsi"/>
        </w:rPr>
        <w:t>Europe</w:t>
      </w:r>
      <w:r w:rsidR="00385329">
        <w:rPr>
          <w:rFonts w:cstheme="minorHAnsi"/>
        </w:rPr>
        <w:t xml:space="preserve"> </w:t>
      </w:r>
      <w:r w:rsidR="00CE0868">
        <w:rPr>
          <w:rFonts w:cstheme="minorHAnsi"/>
        </w:rPr>
        <w:t xml:space="preserve">showed the </w:t>
      </w:r>
      <w:r w:rsidR="00385329">
        <w:rPr>
          <w:rFonts w:cstheme="minorHAnsi"/>
        </w:rPr>
        <w:t>EU</w:t>
      </w:r>
      <w:r w:rsidR="00CE0868">
        <w:rPr>
          <w:rFonts w:cstheme="minorHAnsi"/>
        </w:rPr>
        <w:t xml:space="preserve"> economy was clearly losing momentum. However, despite that disconcerting</w:t>
      </w:r>
      <w:r w:rsidR="00385329">
        <w:rPr>
          <w:rFonts w:cstheme="minorHAnsi"/>
        </w:rPr>
        <w:t xml:space="preserve"> European</w:t>
      </w:r>
      <w:r w:rsidR="00CE0868">
        <w:rPr>
          <w:rFonts w:cstheme="minorHAnsi"/>
        </w:rPr>
        <w:t xml:space="preserve"> economic data, foreign developed markets outperformed emerging markets, </w:t>
      </w:r>
      <w:r w:rsidR="00E3378D">
        <w:rPr>
          <w:rFonts w:cstheme="minorHAnsi"/>
        </w:rPr>
        <w:t xml:space="preserve">due </w:t>
      </w:r>
      <w:r w:rsidR="00CE0868">
        <w:rPr>
          <w:rFonts w:cstheme="minorHAnsi"/>
        </w:rPr>
        <w:t xml:space="preserve">in part </w:t>
      </w:r>
      <w:r w:rsidR="00385329">
        <w:rPr>
          <w:rFonts w:cstheme="minorHAnsi"/>
        </w:rPr>
        <w:t xml:space="preserve">to </w:t>
      </w:r>
      <w:r w:rsidR="00CE0868">
        <w:rPr>
          <w:rFonts w:cstheme="minorHAnsi"/>
        </w:rPr>
        <w:t>t</w:t>
      </w:r>
      <w:r w:rsidR="00385329">
        <w:rPr>
          <w:rFonts w:cstheme="minorHAnsi"/>
        </w:rPr>
        <w:t>he</w:t>
      </w:r>
      <w:r w:rsidR="00CE0868">
        <w:rPr>
          <w:rFonts w:cstheme="minorHAnsi"/>
        </w:rPr>
        <w:t xml:space="preserve"> lack of a</w:t>
      </w:r>
      <w:r w:rsidR="00385329">
        <w:rPr>
          <w:rFonts w:cstheme="minorHAnsi"/>
        </w:rPr>
        <w:t>n official</w:t>
      </w:r>
      <w:r w:rsidR="00CE0868">
        <w:rPr>
          <w:rFonts w:cstheme="minorHAnsi"/>
        </w:rPr>
        <w:t xml:space="preserve"> trade deal between the U.S. and China </w:t>
      </w:r>
      <w:r w:rsidR="00661173">
        <w:rPr>
          <w:rFonts w:cstheme="minorHAnsi"/>
        </w:rPr>
        <w:t>by</w:t>
      </w:r>
      <w:r w:rsidR="00CE0868">
        <w:rPr>
          <w:rFonts w:cstheme="minorHAnsi"/>
        </w:rPr>
        <w:t xml:space="preserve"> quarter’s end, along with a stronger U.S. dollar</w:t>
      </w:r>
      <w:r w:rsidR="00900F96">
        <w:rPr>
          <w:rFonts w:cstheme="minorHAnsi"/>
        </w:rPr>
        <w:t>,</w:t>
      </w:r>
      <w:r w:rsidR="009866F5">
        <w:rPr>
          <w:rFonts w:cstheme="minorHAnsi"/>
        </w:rPr>
        <w:t xml:space="preserve"> which is traditionally a headwind on emerging markets</w:t>
      </w:r>
      <w:r w:rsidR="00CE0868">
        <w:rPr>
          <w:rFonts w:cstheme="minorHAnsi"/>
        </w:rPr>
        <w:t>.  Foreign developed markets were aided by the European Central Bank announcing</w:t>
      </w:r>
      <w:r w:rsidR="009866F5">
        <w:rPr>
          <w:rFonts w:cstheme="minorHAnsi"/>
        </w:rPr>
        <w:t xml:space="preserve"> in March</w:t>
      </w:r>
      <w:r w:rsidR="00CE0868">
        <w:rPr>
          <w:rFonts w:cstheme="minorHAnsi"/>
        </w:rPr>
        <w:t xml:space="preserve"> it would re-start a stimulus program to help the EU economy.</w:t>
      </w:r>
    </w:p>
    <w:p w14:paraId="7EB030E3" w14:textId="77777777" w:rsidR="00FD53C3" w:rsidRPr="0055613A" w:rsidRDefault="00FD53C3" w:rsidP="00FD53C3">
      <w:pPr>
        <w:spacing w:after="0" w:line="240" w:lineRule="auto"/>
      </w:pPr>
    </w:p>
    <w:tbl>
      <w:tblPr>
        <w:tblW w:w="7240" w:type="dxa"/>
        <w:jc w:val="center"/>
        <w:tblCellMar>
          <w:top w:w="15" w:type="dxa"/>
          <w:bottom w:w="15" w:type="dxa"/>
        </w:tblCellMar>
        <w:tblLook w:val="04A0" w:firstRow="1" w:lastRow="0" w:firstColumn="1" w:lastColumn="0" w:noHBand="0" w:noVBand="1"/>
      </w:tblPr>
      <w:tblGrid>
        <w:gridCol w:w="4240"/>
        <w:gridCol w:w="1500"/>
        <w:gridCol w:w="1500"/>
      </w:tblGrid>
      <w:tr w:rsidR="00FD53C3" w:rsidRPr="0055613A" w14:paraId="3A090CF1" w14:textId="77777777" w:rsidTr="00791EE1">
        <w:trPr>
          <w:trHeight w:val="360"/>
          <w:jc w:val="center"/>
        </w:trPr>
        <w:tc>
          <w:tcPr>
            <w:tcW w:w="42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5077AA" w14:textId="77777777" w:rsidR="00FD53C3" w:rsidRPr="0055613A" w:rsidRDefault="00FD53C3" w:rsidP="00791EE1">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International Equity Indexes</w:t>
            </w:r>
          </w:p>
        </w:tc>
        <w:tc>
          <w:tcPr>
            <w:tcW w:w="15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0B90B2" w14:textId="3F00A71A" w:rsidR="00FD53C3" w:rsidRPr="0055613A" w:rsidRDefault="00FD53C3" w:rsidP="00791EE1">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Q</w:t>
            </w:r>
            <w:r w:rsidR="00886A5D">
              <w:rPr>
                <w:rFonts w:ascii="Calibri" w:eastAsia="Times New Roman" w:hAnsi="Calibri" w:cs="Calibri"/>
                <w:b/>
                <w:bCs/>
                <w:sz w:val="20"/>
                <w:szCs w:val="20"/>
              </w:rPr>
              <w:t>1</w:t>
            </w:r>
            <w:r w:rsidRPr="0055613A">
              <w:rPr>
                <w:rFonts w:ascii="Calibri" w:eastAsia="Times New Roman" w:hAnsi="Calibri" w:cs="Calibri"/>
                <w:b/>
                <w:bCs/>
                <w:sz w:val="20"/>
                <w:szCs w:val="20"/>
              </w:rPr>
              <w:t xml:space="preserve"> Return </w:t>
            </w:r>
          </w:p>
        </w:tc>
        <w:tc>
          <w:tcPr>
            <w:tcW w:w="15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BAD1A3" w14:textId="77777777" w:rsidR="00FD53C3" w:rsidRPr="0055613A" w:rsidRDefault="00FD53C3" w:rsidP="00791EE1">
            <w:pPr>
              <w:spacing w:after="0" w:line="240" w:lineRule="auto"/>
              <w:jc w:val="center"/>
              <w:rPr>
                <w:rFonts w:ascii="Calibri" w:eastAsia="Times New Roman" w:hAnsi="Calibri" w:cs="Calibri"/>
                <w:b/>
                <w:bCs/>
                <w:sz w:val="20"/>
                <w:szCs w:val="20"/>
              </w:rPr>
            </w:pPr>
            <w:r w:rsidRPr="0055613A">
              <w:rPr>
                <w:rFonts w:ascii="Calibri" w:eastAsia="Times New Roman" w:hAnsi="Calibri" w:cs="Calibri"/>
                <w:b/>
                <w:bCs/>
                <w:sz w:val="20"/>
                <w:szCs w:val="20"/>
              </w:rPr>
              <w:t xml:space="preserve">2018 Return </w:t>
            </w:r>
          </w:p>
        </w:tc>
      </w:tr>
      <w:tr w:rsidR="00FD53C3" w:rsidRPr="0055613A" w14:paraId="0A9249AA" w14:textId="77777777" w:rsidTr="00791EE1">
        <w:trPr>
          <w:trHeight w:val="360"/>
          <w:jc w:val="center"/>
        </w:trPr>
        <w:tc>
          <w:tcPr>
            <w:tcW w:w="4240" w:type="dxa"/>
            <w:tcBorders>
              <w:top w:val="single" w:sz="4" w:space="0" w:color="auto"/>
              <w:left w:val="single" w:sz="4" w:space="0" w:color="auto"/>
              <w:bottom w:val="single" w:sz="4" w:space="0" w:color="auto"/>
              <w:right w:val="single" w:sz="4" w:space="0" w:color="auto"/>
            </w:tcBorders>
            <w:vAlign w:val="center"/>
            <w:hideMark/>
          </w:tcPr>
          <w:p w14:paraId="08425245" w14:textId="77777777" w:rsidR="00FD53C3" w:rsidRPr="0055613A" w:rsidRDefault="00FD53C3" w:rsidP="00791EE1">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MSCI EAFE NR USD (Foreign Developed)</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35AD6F0" w14:textId="0FD5B046" w:rsidR="00FD53C3" w:rsidRPr="0055613A" w:rsidRDefault="00D97603" w:rsidP="00791EE1">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9.98%</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EF4A607" w14:textId="77777777" w:rsidR="00FD53C3" w:rsidRPr="0055613A" w:rsidRDefault="00FD53C3" w:rsidP="00791EE1">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-13.79%</w:t>
            </w:r>
          </w:p>
        </w:tc>
      </w:tr>
      <w:tr w:rsidR="00FD53C3" w:rsidRPr="0055613A" w14:paraId="5FBFBDB4" w14:textId="77777777" w:rsidTr="00791EE1">
        <w:trPr>
          <w:trHeight w:val="360"/>
          <w:jc w:val="center"/>
        </w:trPr>
        <w:tc>
          <w:tcPr>
            <w:tcW w:w="4240" w:type="dxa"/>
            <w:tcBorders>
              <w:top w:val="single" w:sz="4" w:space="0" w:color="auto"/>
              <w:left w:val="single" w:sz="4" w:space="0" w:color="auto"/>
              <w:bottom w:val="single" w:sz="4" w:space="0" w:color="auto"/>
              <w:right w:val="single" w:sz="4" w:space="0" w:color="auto"/>
            </w:tcBorders>
            <w:vAlign w:val="center"/>
            <w:hideMark/>
          </w:tcPr>
          <w:p w14:paraId="2920C09F" w14:textId="77777777" w:rsidR="00FD53C3" w:rsidRPr="0055613A" w:rsidRDefault="00FD53C3" w:rsidP="00791EE1">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MSCI EM NR USD (Emerging Markets)</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88A60A3" w14:textId="41C99051" w:rsidR="00FD53C3" w:rsidRPr="0055613A" w:rsidRDefault="00D97603" w:rsidP="00791EE1">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9.91%</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FAA34FE" w14:textId="77777777" w:rsidR="00FD53C3" w:rsidRPr="0055613A" w:rsidRDefault="00FD53C3" w:rsidP="00791EE1">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-14.58%</w:t>
            </w:r>
          </w:p>
        </w:tc>
      </w:tr>
      <w:tr w:rsidR="00FD53C3" w:rsidRPr="0055613A" w14:paraId="56610190" w14:textId="77777777" w:rsidTr="00791EE1">
        <w:trPr>
          <w:trHeight w:val="360"/>
          <w:jc w:val="center"/>
        </w:trPr>
        <w:tc>
          <w:tcPr>
            <w:tcW w:w="4240" w:type="dxa"/>
            <w:tcBorders>
              <w:top w:val="single" w:sz="4" w:space="0" w:color="auto"/>
              <w:left w:val="single" w:sz="4" w:space="0" w:color="auto"/>
              <w:bottom w:val="single" w:sz="4" w:space="0" w:color="auto"/>
              <w:right w:val="single" w:sz="4" w:space="0" w:color="auto"/>
            </w:tcBorders>
            <w:vAlign w:val="center"/>
            <w:hideMark/>
          </w:tcPr>
          <w:p w14:paraId="59DD7C87" w14:textId="77777777" w:rsidR="00FD53C3" w:rsidRPr="0055613A" w:rsidRDefault="00FD53C3" w:rsidP="00791EE1">
            <w:pPr>
              <w:spacing w:after="0" w:line="240" w:lineRule="auto"/>
              <w:rPr>
                <w:rFonts w:ascii="Calibri" w:eastAsia="Times New Roman" w:hAnsi="Calibri" w:cs="Calibri"/>
                <w:sz w:val="20"/>
                <w:szCs w:val="20"/>
              </w:rPr>
            </w:pPr>
            <w:r w:rsidRPr="0055613A">
              <w:rPr>
                <w:rFonts w:ascii="Calibri" w:eastAsia="Times New Roman" w:hAnsi="Calibri" w:cs="Calibri"/>
                <w:sz w:val="20"/>
                <w:szCs w:val="20"/>
              </w:rPr>
              <w:t>MSCI ACWI Ex USA NR USD (Foreign Dev &amp; EM)</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0FF3497" w14:textId="77C5683B" w:rsidR="00FD53C3" w:rsidRPr="0055613A" w:rsidRDefault="00D97603" w:rsidP="00791EE1">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10.31%</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9914DC2" w14:textId="77777777" w:rsidR="00FD53C3" w:rsidRPr="0055613A" w:rsidRDefault="00FD53C3" w:rsidP="00791EE1">
            <w:pPr>
              <w:spacing w:after="0" w:line="240" w:lineRule="auto"/>
              <w:jc w:val="center"/>
              <w:rPr>
                <w:rFonts w:ascii="Calibri" w:eastAsia="Times New Roman" w:hAnsi="Calibri" w:cs="Calibri"/>
                <w:sz w:val="20"/>
                <w:szCs w:val="20"/>
              </w:rPr>
            </w:pPr>
            <w:r w:rsidRPr="0055613A">
              <w:rPr>
                <w:rFonts w:ascii="Calibri" w:eastAsia="Times New Roman" w:hAnsi="Calibri" w:cs="Calibri"/>
                <w:sz w:val="20"/>
                <w:szCs w:val="20"/>
              </w:rPr>
              <w:t>-14.20%</w:t>
            </w:r>
          </w:p>
        </w:tc>
      </w:tr>
    </w:tbl>
    <w:p w14:paraId="6285D557" w14:textId="77777777" w:rsidR="00FD53C3" w:rsidRPr="0055613A" w:rsidRDefault="00FD53C3" w:rsidP="00FD53C3">
      <w:pPr>
        <w:spacing w:after="0" w:line="240" w:lineRule="auto"/>
        <w:jc w:val="center"/>
        <w:rPr>
          <w:i/>
        </w:rPr>
      </w:pPr>
      <w:r w:rsidRPr="0055613A">
        <w:rPr>
          <w:i/>
        </w:rPr>
        <w:t>Source: Morningstar</w:t>
      </w:r>
    </w:p>
    <w:p w14:paraId="43565740" w14:textId="77777777" w:rsidR="00FD53C3" w:rsidRPr="0055613A" w:rsidRDefault="00FD53C3" w:rsidP="00FD53C3">
      <w:pPr>
        <w:spacing w:after="0" w:line="240" w:lineRule="auto"/>
      </w:pPr>
    </w:p>
    <w:p w14:paraId="0E12EC1F" w14:textId="0BF6C3A6" w:rsidR="00CE0868" w:rsidRPr="0055613A" w:rsidRDefault="00FD53C3" w:rsidP="00CE0868">
      <w:pPr>
        <w:spacing w:after="0" w:line="240" w:lineRule="auto"/>
      </w:pPr>
      <w:bookmarkStart w:id="1" w:name="_Hlk5018881"/>
      <w:r w:rsidRPr="0055613A">
        <w:t xml:space="preserve">Commodities </w:t>
      </w:r>
      <w:r w:rsidR="00CE0868">
        <w:t>saw strong returns in the first quarter, thanks</w:t>
      </w:r>
      <w:r w:rsidR="009866F5">
        <w:t xml:space="preserve"> mostly</w:t>
      </w:r>
      <w:r w:rsidR="00CE0868">
        <w:t xml:space="preserve"> to a surge in oil</w:t>
      </w:r>
      <w:r w:rsidR="00886A5D">
        <w:t xml:space="preserve"> prices</w:t>
      </w:r>
      <w:r w:rsidR="00CE0868">
        <w:t xml:space="preserve">. Oil rose sharply over the past three months primarily </w:t>
      </w:r>
      <w:r w:rsidR="00383888">
        <w:t>because of</w:t>
      </w:r>
      <w:r w:rsidR="00CE0868">
        <w:t xml:space="preserve"> supply issues, including the uncertain nature of Iranian sanction</w:t>
      </w:r>
      <w:r w:rsidR="008C54E0">
        <w:t xml:space="preserve"> wa</w:t>
      </w:r>
      <w:r w:rsidR="00886A5D">
        <w:t>i</w:t>
      </w:r>
      <w:r w:rsidR="008C54E0">
        <w:t>vers</w:t>
      </w:r>
      <w:r w:rsidR="00CE0868">
        <w:t xml:space="preserve">, new Venezuelan sanctions </w:t>
      </w:r>
      <w:r w:rsidR="008C54E0">
        <w:t>that reduced</w:t>
      </w:r>
      <w:r w:rsidR="00CE0868">
        <w:t xml:space="preserve"> U.S. imports, and a pledge by OPEC to extend previously announced production cuts for all of 2019. Those supply risks offset demand concerns related to disappointing global economic growth. Gold, meanwhile, logged </w:t>
      </w:r>
      <w:r w:rsidR="00886A5D">
        <w:t xml:space="preserve">only </w:t>
      </w:r>
      <w:r w:rsidR="00741595">
        <w:t>modest</w:t>
      </w:r>
      <w:r w:rsidR="00CE0868">
        <w:t xml:space="preserve"> gains for the first quarter thanks to</w:t>
      </w:r>
      <w:r w:rsidR="008C54E0">
        <w:t xml:space="preserve"> headwinds from a </w:t>
      </w:r>
      <w:r w:rsidR="00CE0868">
        <w:t xml:space="preserve">stronger U.S. dollar and lack of acceleration in inflation.  </w:t>
      </w:r>
    </w:p>
    <w:bookmarkEnd w:id="1"/>
    <w:p w14:paraId="285AB929" w14:textId="77777777" w:rsidR="00FD53C3" w:rsidRPr="0055613A" w:rsidRDefault="00FD53C3" w:rsidP="00FD53C3">
      <w:pPr>
        <w:spacing w:after="0" w:line="240" w:lineRule="auto"/>
      </w:pPr>
    </w:p>
    <w:p w14:paraId="3B7E2B31" w14:textId="752658D1" w:rsidR="00FD53C3" w:rsidRPr="0055613A" w:rsidRDefault="00FD53C3" w:rsidP="00FD53C3">
      <w:pPr>
        <w:spacing w:after="0" w:line="240" w:lineRule="auto"/>
      </w:pPr>
      <w:r w:rsidRPr="0055613A">
        <w:t xml:space="preserve">Switching to the fixed income markets, the leading benchmark for bonds (Bloomberg Barclays US Aggregate Bond Index) saw positive returns during the </w:t>
      </w:r>
      <w:r w:rsidR="00886A5D">
        <w:t>first</w:t>
      </w:r>
      <w:r w:rsidR="00886A5D" w:rsidRPr="0055613A">
        <w:t xml:space="preserve"> </w:t>
      </w:r>
      <w:r w:rsidRPr="0055613A">
        <w:t xml:space="preserve">quarter, </w:t>
      </w:r>
      <w:r w:rsidR="00CE0868">
        <w:t>but bond indices lagged stocks</w:t>
      </w:r>
      <w:r w:rsidR="008C54E0">
        <w:t>, which is a reversal from the fourth quarter of 2018</w:t>
      </w:r>
      <w:r w:rsidR="00CE0868">
        <w:t xml:space="preserve">.  </w:t>
      </w:r>
    </w:p>
    <w:p w14:paraId="724BD3B6" w14:textId="77777777" w:rsidR="00FD53C3" w:rsidRPr="0055613A" w:rsidRDefault="00FD53C3" w:rsidP="00FD53C3">
      <w:pPr>
        <w:spacing w:after="0" w:line="240" w:lineRule="auto"/>
      </w:pPr>
    </w:p>
    <w:p w14:paraId="6205CFF2" w14:textId="7DAC704D" w:rsidR="00FD53C3" w:rsidRPr="0055613A" w:rsidRDefault="00FD53C3" w:rsidP="00FD53C3">
      <w:pPr>
        <w:spacing w:after="0" w:line="240" w:lineRule="auto"/>
      </w:pPr>
      <w:r w:rsidRPr="0055613A">
        <w:t xml:space="preserve">Looking deeper into the fixed income markets, longer-duration bonds outperformed </w:t>
      </w:r>
      <w:r>
        <w:t xml:space="preserve">those with </w:t>
      </w:r>
      <w:r w:rsidRPr="0055613A">
        <w:t>shorter-duration</w:t>
      </w:r>
      <w:r>
        <w:t>s</w:t>
      </w:r>
      <w:r w:rsidRPr="0055613A">
        <w:t xml:space="preserve"> during </w:t>
      </w:r>
      <w:r w:rsidR="00886A5D">
        <w:t>Q1</w:t>
      </w:r>
      <w:r w:rsidRPr="0055613A">
        <w:t xml:space="preserve">, which </w:t>
      </w:r>
      <w:r w:rsidR="00CE0868">
        <w:t>is a continuation of what we observed in the fourth quarter of 2018. And, given the Fed’s pledge not to raise rates any more in 2019, the outperformance of long duration bonds was expected.</w:t>
      </w:r>
    </w:p>
    <w:p w14:paraId="1407673C" w14:textId="77777777" w:rsidR="00FD53C3" w:rsidRPr="0055613A" w:rsidRDefault="00FD53C3" w:rsidP="00FD53C3">
      <w:pPr>
        <w:spacing w:after="0" w:line="240" w:lineRule="auto"/>
      </w:pPr>
    </w:p>
    <w:p w14:paraId="62D54A11" w14:textId="751E8535" w:rsidR="00FD53C3" w:rsidRDefault="7B6DF1B5" w:rsidP="00FD53C3">
      <w:pPr>
        <w:spacing w:after="0" w:line="240" w:lineRule="auto"/>
      </w:pPr>
      <w:r>
        <w:t>Corporate bonds, both investment grade and high yield, handily outperformed government bonds in the first quarter thanks to a better than expected earnings season</w:t>
      </w:r>
      <w:r w:rsidR="00886A5D">
        <w:t>,</w:t>
      </w:r>
      <w:r>
        <w:t xml:space="preserve"> a reduction in macro risks via the apparent U.S.</w:t>
      </w:r>
      <w:r w:rsidR="00886A5D">
        <w:t>-</w:t>
      </w:r>
      <w:r>
        <w:t xml:space="preserve">China trade progress, </w:t>
      </w:r>
      <w:r w:rsidR="00886A5D">
        <w:t>and</w:t>
      </w:r>
      <w:r>
        <w:t xml:space="preserve"> the Fed </w:t>
      </w:r>
      <w:r w:rsidR="00886A5D">
        <w:t>“</w:t>
      </w:r>
      <w:r w:rsidR="008C54E0">
        <w:t>pause</w:t>
      </w:r>
      <w:r w:rsidR="00886A5D">
        <w:t>”</w:t>
      </w:r>
      <w:r w:rsidR="008C54E0">
        <w:t xml:space="preserve"> on interest rate hikes</w:t>
      </w:r>
      <w:r>
        <w:t>.  Both investment grade and high yield bond funds had their best quarterly return</w:t>
      </w:r>
      <w:r w:rsidR="00886A5D">
        <w:t>s</w:t>
      </w:r>
      <w:r>
        <w:t xml:space="preserve"> in years.</w:t>
      </w:r>
    </w:p>
    <w:p w14:paraId="2EE94455" w14:textId="77777777" w:rsidR="002841B8" w:rsidRPr="0055613A" w:rsidRDefault="002841B8" w:rsidP="00FD53C3">
      <w:pPr>
        <w:spacing w:after="0" w:line="240" w:lineRule="auto"/>
      </w:pPr>
    </w:p>
    <w:p w14:paraId="2B875CD9" w14:textId="1CCC9712" w:rsidR="00FD53C3" w:rsidRPr="0055613A" w:rsidRDefault="00DF7759" w:rsidP="002841B8">
      <w:pPr>
        <w:pStyle w:val="Heading2"/>
      </w:pPr>
      <w:r>
        <w:t>Second</w:t>
      </w:r>
      <w:r w:rsidR="0097036E">
        <w:t xml:space="preserve"> Quarter Market Outlook</w:t>
      </w:r>
    </w:p>
    <w:p w14:paraId="0301AF2D" w14:textId="77777777" w:rsidR="00FD53C3" w:rsidRPr="0055613A" w:rsidRDefault="00FD53C3" w:rsidP="00FD53C3">
      <w:pPr>
        <w:spacing w:after="0" w:line="240" w:lineRule="auto"/>
        <w:rPr>
          <w:u w:val="single"/>
        </w:rPr>
      </w:pPr>
    </w:p>
    <w:p w14:paraId="422AB7E0" w14:textId="0F89E4F8" w:rsidR="00C736CD" w:rsidRDefault="00C736CD" w:rsidP="00C736CD">
      <w:bookmarkStart w:id="2" w:name="_Hlk533764852"/>
      <w:r>
        <w:t xml:space="preserve">The outlook for markets has improved since the depths of the </w:t>
      </w:r>
      <w:r w:rsidR="008C54E0">
        <w:t xml:space="preserve">correction in the </w:t>
      </w:r>
      <w:r w:rsidR="009866F5">
        <w:t xml:space="preserve">fourth </w:t>
      </w:r>
      <w:r>
        <w:t xml:space="preserve">quarter. </w:t>
      </w:r>
      <w:r w:rsidR="008C54E0">
        <w:t>T</w:t>
      </w:r>
      <w:r>
        <w:t>he Fed has backed off additional interest rate increases, corporate earnings have exceeded conservative expectations, and U.S.</w:t>
      </w:r>
      <w:r w:rsidR="00886A5D">
        <w:t>-</w:t>
      </w:r>
      <w:r>
        <w:t>China trade relations appear to be moving in the right direction.</w:t>
      </w:r>
    </w:p>
    <w:p w14:paraId="63142DB0" w14:textId="3821C74D" w:rsidR="00C736CD" w:rsidRDefault="00C736CD" w:rsidP="00C736CD">
      <w:r>
        <w:t>And, those positives have rightly resulted in a strong start to the year.</w:t>
      </w:r>
      <w:r w:rsidR="00886A5D">
        <w:t xml:space="preserve"> </w:t>
      </w:r>
      <w:r w:rsidR="00661173">
        <w:t>Yet</w:t>
      </w:r>
      <w:r>
        <w:t xml:space="preserve">, despite the strong gains this past quarter we think it would be a mistake to become complacent in this market.  </w:t>
      </w:r>
    </w:p>
    <w:p w14:paraId="1F14455E" w14:textId="31589E42" w:rsidR="008C54E0" w:rsidRDefault="00C736CD" w:rsidP="00C736CD">
      <w:r>
        <w:lastRenderedPageBreak/>
        <w:t xml:space="preserve">The problems that contributed to the volatility in the </w:t>
      </w:r>
      <w:r w:rsidR="009866F5">
        <w:t>fou</w:t>
      </w:r>
      <w:r w:rsidR="009D64B2">
        <w:t>r</w:t>
      </w:r>
      <w:r w:rsidR="009866F5">
        <w:t>th</w:t>
      </w:r>
      <w:r>
        <w:t xml:space="preserve"> quarter of 2018</w:t>
      </w:r>
      <w:r w:rsidR="008C54E0">
        <w:t xml:space="preserve"> were three-fold: D</w:t>
      </w:r>
      <w:r>
        <w:t xml:space="preserve">isappointing economic growth, underwhelming earnings </w:t>
      </w:r>
      <w:r w:rsidR="008C54E0">
        <w:t>results</w:t>
      </w:r>
      <w:r>
        <w:t xml:space="preserve"> and confusion regarding the outlook for future Fed policy</w:t>
      </w:r>
      <w:r w:rsidR="008C54E0">
        <w:t>. While there has been improvement on two of those three fronts, none have been fully resolved.</w:t>
      </w:r>
      <w:r>
        <w:t xml:space="preserve"> </w:t>
      </w:r>
      <w:r w:rsidR="009D64B2">
        <w:t xml:space="preserve">And, there are still legitimate concerns about the pace of economic growth globally following the disappointing economic readings of </w:t>
      </w:r>
      <w:r w:rsidR="00886A5D">
        <w:t>the last three months</w:t>
      </w:r>
      <w:r w:rsidR="009D64B2">
        <w:t xml:space="preserve">.  </w:t>
      </w:r>
    </w:p>
    <w:p w14:paraId="18299EC5" w14:textId="047B3D11" w:rsidR="00C736CD" w:rsidRDefault="00C736CD" w:rsidP="00C736CD">
      <w:r>
        <w:t>Additionally, while it is largely expected that the U.S. and China will sign a new trade deal that will result in tariff reduction, as of this writing</w:t>
      </w:r>
      <w:r w:rsidR="00383888">
        <w:t>,</w:t>
      </w:r>
      <w:r>
        <w:t xml:space="preserve"> that has not occurred</w:t>
      </w:r>
      <w:r w:rsidR="00661173">
        <w:t>.</w:t>
      </w:r>
      <w:r>
        <w:t xml:space="preserve"> </w:t>
      </w:r>
      <w:r w:rsidR="00661173">
        <w:t>A</w:t>
      </w:r>
      <w:r>
        <w:t>nd as the past two years have taught us, this administration’s approach is</w:t>
      </w:r>
      <w:r w:rsidR="004007D7">
        <w:t xml:space="preserve"> an</w:t>
      </w:r>
      <w:r>
        <w:t xml:space="preserve"> unorthodox</w:t>
      </w:r>
      <w:r w:rsidR="004007D7">
        <w:t xml:space="preserve"> one</w:t>
      </w:r>
      <w:r>
        <w:t xml:space="preserve"> and anything can happen.</w:t>
      </w:r>
    </w:p>
    <w:p w14:paraId="0FBC9947" w14:textId="254151BE" w:rsidR="00C736CD" w:rsidRDefault="008C54E0" w:rsidP="00C736CD">
      <w:r>
        <w:t>Looking forward to the</w:t>
      </w:r>
      <w:r w:rsidR="7B6DF1B5">
        <w:t xml:space="preserve"> </w:t>
      </w:r>
      <w:r w:rsidR="00661173">
        <w:t>second</w:t>
      </w:r>
      <w:r w:rsidR="007F48D1">
        <w:t xml:space="preserve"> </w:t>
      </w:r>
      <w:r w:rsidR="7B6DF1B5">
        <w:t xml:space="preserve">quarter, we will be </w:t>
      </w:r>
      <w:r>
        <w:t>searching for signs that</w:t>
      </w:r>
      <w:r w:rsidR="7B6DF1B5">
        <w:t xml:space="preserve"> global economic growth has stabilized and inflected higher.  Additionally, we’ll seek out further clarity on the Fed’s plans for interest rates</w:t>
      </w:r>
      <w:r w:rsidR="0026698B">
        <w:t>.  Meanwhile, t</w:t>
      </w:r>
      <w:r w:rsidR="7B6DF1B5">
        <w:t xml:space="preserve">his upcoming earnings season, which begins in two weeks, will also be important as corporate earnings results and commentary need to reinforce and confirm the optimistic economic and corporate views </w:t>
      </w:r>
      <w:r w:rsidR="004007D7">
        <w:t xml:space="preserve">currently reflected </w:t>
      </w:r>
      <w:r w:rsidR="7B6DF1B5">
        <w:t>in the stock market.  Finally, regarding trade, we’ll review and analyze any trade deal to see if it is the economic positive investors believe it will be.</w:t>
      </w:r>
    </w:p>
    <w:p w14:paraId="5150E4A0" w14:textId="0CFF4EA9" w:rsidR="00C736CD" w:rsidRDefault="7B6DF1B5" w:rsidP="00C736CD">
      <w:r>
        <w:t>So, we start this second quarter of 2019 thankful for the strong start to the year, but also mindful that now is not a time to become complacent – because risks to</w:t>
      </w:r>
      <w:r w:rsidR="004007D7">
        <w:t xml:space="preserve"> investors’</w:t>
      </w:r>
      <w:r>
        <w:t xml:space="preserve"> portfolios remain.  </w:t>
      </w:r>
    </w:p>
    <w:p w14:paraId="275FB1EE" w14:textId="03609D65" w:rsidR="00C736CD" w:rsidRDefault="004007D7" w:rsidP="00C736CD">
      <w:r>
        <w:t>And, a</w:t>
      </w:r>
      <w:r w:rsidR="00C736CD">
        <w:t xml:space="preserve">s always, we are committed to helping you navigate this challenging investment environment.  </w:t>
      </w:r>
    </w:p>
    <w:p w14:paraId="49836C59" w14:textId="3697EF55" w:rsidR="00FD53C3" w:rsidRPr="0055613A" w:rsidRDefault="009D64B2" w:rsidP="00FD53C3">
      <w:pPr>
        <w:spacing w:after="0" w:line="240" w:lineRule="auto"/>
      </w:pPr>
      <w:r>
        <w:t>E</w:t>
      </w:r>
      <w:r w:rsidR="004007D7">
        <w:t xml:space="preserve">ven if volatility returns, </w:t>
      </w:r>
      <w:bookmarkEnd w:id="2"/>
      <w:r w:rsidR="00FD53C3" w:rsidRPr="0055613A">
        <w:t xml:space="preserve">history has </w:t>
      </w:r>
      <w:r w:rsidR="00FD53C3">
        <w:t>shown</w:t>
      </w:r>
      <w:r w:rsidR="00FD53C3" w:rsidRPr="0055613A">
        <w:t xml:space="preserve"> that a long-term approach combined with a well-designed and well-executed investment strategy </w:t>
      </w:r>
      <w:r w:rsidR="00FD53C3">
        <w:t>can</w:t>
      </w:r>
      <w:r w:rsidR="00FD53C3" w:rsidRPr="0055613A">
        <w:t xml:space="preserve"> overcome periods of heightened volatility, market corrections, and even bear markets.  </w:t>
      </w:r>
    </w:p>
    <w:p w14:paraId="51E07A8E" w14:textId="77777777" w:rsidR="00FD53C3" w:rsidRPr="0055613A" w:rsidRDefault="00FD53C3" w:rsidP="00FD53C3">
      <w:pPr>
        <w:spacing w:after="0" w:line="240" w:lineRule="auto"/>
      </w:pPr>
    </w:p>
    <w:p w14:paraId="2BCA8CD4" w14:textId="237CBACD" w:rsidR="00FD53C3" w:rsidRPr="0055613A" w:rsidRDefault="00FD53C3" w:rsidP="00FD53C3">
      <w:pPr>
        <w:spacing w:after="0" w:line="240" w:lineRule="auto"/>
      </w:pPr>
      <w:r w:rsidRPr="0055613A">
        <w:t xml:space="preserve">At </w:t>
      </w:r>
      <w:r w:rsidR="002841B8">
        <w:rPr>
          <w:i/>
        </w:rPr>
        <w:t>Hayes Asset Management</w:t>
      </w:r>
      <w:r w:rsidRPr="0055613A">
        <w:t xml:space="preserve">, we understand the risks facing both the markets and the economy, and we are committed to helping you </w:t>
      </w:r>
      <w:r>
        <w:t>effectively</w:t>
      </w:r>
      <w:r w:rsidRPr="0055613A">
        <w:t xml:space="preserve"> navigate this challenging </w:t>
      </w:r>
      <w:r>
        <w:t>investment</w:t>
      </w:r>
      <w:r w:rsidRPr="0055613A">
        <w:t xml:space="preserve"> environment. Successful investing is a marathon, not a sprint, and even </w:t>
      </w:r>
      <w:r w:rsidR="004007D7">
        <w:t>the ups and downs in the markets we have all experienced in the last six months</w:t>
      </w:r>
      <w:r w:rsidRPr="0055613A">
        <w:t xml:space="preserve"> </w:t>
      </w:r>
      <w:r w:rsidR="009D64B2">
        <w:t>are</w:t>
      </w:r>
      <w:r w:rsidRPr="0055613A">
        <w:t xml:space="preserve"> unlikely to alter a diversified approach set up to meet your long-term investment goals.  </w:t>
      </w:r>
    </w:p>
    <w:p w14:paraId="1489626E" w14:textId="77777777" w:rsidR="00FD53C3" w:rsidRPr="0055613A" w:rsidRDefault="00FD53C3" w:rsidP="00FD53C3">
      <w:pPr>
        <w:spacing w:after="0" w:line="240" w:lineRule="auto"/>
      </w:pPr>
    </w:p>
    <w:p w14:paraId="7591DF63" w14:textId="77777777" w:rsidR="00FD53C3" w:rsidRPr="0055613A" w:rsidRDefault="00FD53C3" w:rsidP="00FD53C3">
      <w:pPr>
        <w:spacing w:after="0" w:line="240" w:lineRule="auto"/>
      </w:pPr>
      <w:r w:rsidRPr="0055613A">
        <w:t>Therefore, it’s critical for you to stay invested, remain patient, and stick to the plan. We’ve worked with you to establish a personal allocation target based on your financial position, risk tolerance, and investment timeline. Therefore, we aim to take a diversified and disciplined approach with a clear focus on longer-term goals.</w:t>
      </w:r>
    </w:p>
    <w:p w14:paraId="7833D977" w14:textId="77777777" w:rsidR="00FD53C3" w:rsidRPr="0055613A" w:rsidRDefault="00FD53C3" w:rsidP="00FD53C3">
      <w:pPr>
        <w:spacing w:after="0" w:line="240" w:lineRule="auto"/>
      </w:pPr>
    </w:p>
    <w:p w14:paraId="782A97D9" w14:textId="2CBFF24A" w:rsidR="00FD53C3" w:rsidRPr="0055613A" w:rsidRDefault="00FD53C3" w:rsidP="00FD53C3">
      <w:pPr>
        <w:spacing w:after="0" w:line="240" w:lineRule="auto"/>
      </w:pPr>
      <w:r w:rsidRPr="0055613A">
        <w:t xml:space="preserve">We understand that </w:t>
      </w:r>
      <w:r w:rsidR="004007D7">
        <w:t>volatility</w:t>
      </w:r>
      <w:r w:rsidRPr="0055613A">
        <w:t xml:space="preserve"> </w:t>
      </w:r>
      <w:r w:rsidR="004007D7">
        <w:t>can be</w:t>
      </w:r>
      <w:r w:rsidRPr="0055613A">
        <w:t xml:space="preserve"> both unnerving and </w:t>
      </w:r>
      <w:r>
        <w:t>stressful</w:t>
      </w:r>
      <w:r w:rsidRPr="0055613A">
        <w:t>, and we thank you for your ongoing confidence and trust</w:t>
      </w:r>
      <w:r>
        <w:t xml:space="preserve">. Rest assured that </w:t>
      </w:r>
      <w:r w:rsidRPr="0055613A">
        <w:t xml:space="preserve">our entire team will </w:t>
      </w:r>
      <w:r>
        <w:t>remain</w:t>
      </w:r>
      <w:r w:rsidRPr="0055613A">
        <w:t xml:space="preserve"> dedicated to helping you</w:t>
      </w:r>
      <w:r>
        <w:t xml:space="preserve"> </w:t>
      </w:r>
      <w:r w:rsidRPr="0055613A">
        <w:t xml:space="preserve">successfully navigate this market environment.  </w:t>
      </w:r>
    </w:p>
    <w:p w14:paraId="15105626" w14:textId="77777777" w:rsidR="00FD53C3" w:rsidRPr="0055613A" w:rsidRDefault="00FD53C3" w:rsidP="00FD53C3">
      <w:pPr>
        <w:spacing w:after="0" w:line="240" w:lineRule="auto"/>
      </w:pPr>
    </w:p>
    <w:p w14:paraId="2EC59C17" w14:textId="77777777" w:rsidR="00FD53C3" w:rsidRPr="0055613A" w:rsidRDefault="00FD53C3" w:rsidP="00FD53C3">
      <w:pPr>
        <w:spacing w:after="0" w:line="240" w:lineRule="auto"/>
        <w:rPr>
          <w:highlight w:val="yellow"/>
        </w:rPr>
      </w:pPr>
      <w:r w:rsidRPr="0055613A">
        <w:t>Please do not hesitate to contact us with any questions, comments, or to schedule a portfolio review.</w:t>
      </w:r>
    </w:p>
    <w:p w14:paraId="6E01DF3E" w14:textId="77777777" w:rsidR="00FD53C3" w:rsidRPr="0055613A" w:rsidRDefault="00FD53C3" w:rsidP="00FD53C3">
      <w:pPr>
        <w:spacing w:after="0" w:line="240" w:lineRule="auto"/>
        <w:rPr>
          <w:highlight w:val="yellow"/>
        </w:rPr>
      </w:pPr>
    </w:p>
    <w:p w14:paraId="42160E67" w14:textId="77777777" w:rsidR="00FD53C3" w:rsidRDefault="00FD53C3" w:rsidP="00FD53C3">
      <w:pPr>
        <w:spacing w:after="0" w:line="240" w:lineRule="auto"/>
      </w:pPr>
      <w:bookmarkStart w:id="3" w:name="_GoBack"/>
      <w:bookmarkEnd w:id="3"/>
    </w:p>
    <w:p w14:paraId="63335EA8" w14:textId="77777777" w:rsidR="00FD53C3" w:rsidRDefault="00FD53C3" w:rsidP="00FD53C3">
      <w:pPr>
        <w:spacing w:after="0" w:line="240" w:lineRule="auto"/>
      </w:pPr>
    </w:p>
    <w:p w14:paraId="44C339AF" w14:textId="77777777" w:rsidR="00FD53C3" w:rsidRDefault="00FD53C3" w:rsidP="00FD53C3">
      <w:pPr>
        <w:spacing w:after="0" w:line="240" w:lineRule="auto"/>
      </w:pPr>
      <w:r>
        <w:tab/>
      </w:r>
    </w:p>
    <w:p w14:paraId="1DC383E8" w14:textId="77777777" w:rsidR="00E655AC" w:rsidRDefault="00E655AC"/>
    <w:sectPr w:rsidR="00E655AC" w:rsidSect="00E97FDA">
      <w:pgSz w:w="12240" w:h="15840"/>
      <w:pgMar w:top="720" w:right="720" w:bottom="720" w:left="720" w:header="720" w:footer="720" w:gutter="0"/>
      <w:pgBorders w:offsetFrom="page">
        <w:top w:val="single" w:sz="48" w:space="24" w:color="1F3864" w:themeColor="accent1" w:themeShade="80"/>
        <w:left w:val="single" w:sz="48" w:space="24" w:color="1F3864" w:themeColor="accent1" w:themeShade="80"/>
        <w:bottom w:val="single" w:sz="48" w:space="24" w:color="1F3864" w:themeColor="accent1" w:themeShade="80"/>
        <w:right w:val="single" w:sz="48" w:space="24" w:color="1F3864" w:themeColor="accent1"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3C3"/>
    <w:rsid w:val="00055E25"/>
    <w:rsid w:val="000643DF"/>
    <w:rsid w:val="000943FA"/>
    <w:rsid w:val="0014411A"/>
    <w:rsid w:val="001A1F63"/>
    <w:rsid w:val="00205D5B"/>
    <w:rsid w:val="00230C1F"/>
    <w:rsid w:val="0026698B"/>
    <w:rsid w:val="002841B8"/>
    <w:rsid w:val="002B7322"/>
    <w:rsid w:val="00326164"/>
    <w:rsid w:val="00383888"/>
    <w:rsid w:val="00385329"/>
    <w:rsid w:val="003D6E4F"/>
    <w:rsid w:val="004007D7"/>
    <w:rsid w:val="004E63C4"/>
    <w:rsid w:val="005A779F"/>
    <w:rsid w:val="0065109D"/>
    <w:rsid w:val="00661173"/>
    <w:rsid w:val="006C7D34"/>
    <w:rsid w:val="007345A2"/>
    <w:rsid w:val="00741595"/>
    <w:rsid w:val="007B2C7D"/>
    <w:rsid w:val="007F48D1"/>
    <w:rsid w:val="00812369"/>
    <w:rsid w:val="00871B74"/>
    <w:rsid w:val="00886A5D"/>
    <w:rsid w:val="008938C4"/>
    <w:rsid w:val="008C54E0"/>
    <w:rsid w:val="008D6B79"/>
    <w:rsid w:val="00900F96"/>
    <w:rsid w:val="00920B6F"/>
    <w:rsid w:val="0097036E"/>
    <w:rsid w:val="009866F5"/>
    <w:rsid w:val="00997CB7"/>
    <w:rsid w:val="009A239A"/>
    <w:rsid w:val="009D64B2"/>
    <w:rsid w:val="00A1277D"/>
    <w:rsid w:val="00A73419"/>
    <w:rsid w:val="00A76FF5"/>
    <w:rsid w:val="00A93125"/>
    <w:rsid w:val="00AA465C"/>
    <w:rsid w:val="00B963C5"/>
    <w:rsid w:val="00C12F36"/>
    <w:rsid w:val="00C15123"/>
    <w:rsid w:val="00C32378"/>
    <w:rsid w:val="00C5759C"/>
    <w:rsid w:val="00C736CD"/>
    <w:rsid w:val="00CD69E1"/>
    <w:rsid w:val="00CE0868"/>
    <w:rsid w:val="00CF2418"/>
    <w:rsid w:val="00D306D5"/>
    <w:rsid w:val="00D63075"/>
    <w:rsid w:val="00D83D6F"/>
    <w:rsid w:val="00D97603"/>
    <w:rsid w:val="00DA2B17"/>
    <w:rsid w:val="00DF7759"/>
    <w:rsid w:val="00E32CDD"/>
    <w:rsid w:val="00E3378D"/>
    <w:rsid w:val="00E47CCE"/>
    <w:rsid w:val="00E655AC"/>
    <w:rsid w:val="00E97FDA"/>
    <w:rsid w:val="00EB5AF4"/>
    <w:rsid w:val="00F54007"/>
    <w:rsid w:val="00F97284"/>
    <w:rsid w:val="00FA65DD"/>
    <w:rsid w:val="00FD53C3"/>
    <w:rsid w:val="7B6DF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45673"/>
  <w15:chartTrackingRefBased/>
  <w15:docId w15:val="{B2CCA9FD-7A0F-44CA-982E-44B4E884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C3"/>
  </w:style>
  <w:style w:type="paragraph" w:styleId="Heading2">
    <w:name w:val="heading 2"/>
    <w:basedOn w:val="Normal"/>
    <w:next w:val="Normal"/>
    <w:link w:val="Heading2Char"/>
    <w:uiPriority w:val="9"/>
    <w:unhideWhenUsed/>
    <w:qFormat/>
    <w:rsid w:val="002841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0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007"/>
    <w:rPr>
      <w:rFonts w:ascii="Segoe UI" w:hAnsi="Segoe UI" w:cs="Segoe UI"/>
      <w:sz w:val="18"/>
      <w:szCs w:val="18"/>
    </w:rPr>
  </w:style>
  <w:style w:type="character" w:customStyle="1" w:styleId="Heading2Char">
    <w:name w:val="Heading 2 Char"/>
    <w:basedOn w:val="DefaultParagraphFont"/>
    <w:link w:val="Heading2"/>
    <w:uiPriority w:val="9"/>
    <w:rsid w:val="002841B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193FA-DAC6-4DD1-80C4-27D46201A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Essaye</dc:creator>
  <cp:keywords/>
  <dc:description/>
  <cp:lastModifiedBy>Ashley Dolan</cp:lastModifiedBy>
  <cp:revision>4</cp:revision>
  <cp:lastPrinted>2019-03-28T18:23:00Z</cp:lastPrinted>
  <dcterms:created xsi:type="dcterms:W3CDTF">2019-04-02T18:05:00Z</dcterms:created>
  <dcterms:modified xsi:type="dcterms:W3CDTF">2019-04-16T13:37:00Z</dcterms:modified>
</cp:coreProperties>
</file>